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838FB9" w14:textId="77777777" w:rsidR="003640D6" w:rsidRDefault="00000000">
      <w:pPr>
        <w:spacing w:after="0" w:line="240" w:lineRule="auto"/>
        <w:rPr>
          <w:rFonts w:asciiTheme="majorHAnsi" w:hAnsiTheme="majorHAnsi" w:cstheme="majorHAnsi"/>
          <w:bCs/>
          <w:i/>
          <w:snapToGrid w:val="0"/>
          <w:sz w:val="24"/>
          <w:szCs w:val="36"/>
          <w:lang w:eastAsia="de-DE" w:bidi="en-US"/>
        </w:rPr>
      </w:pPr>
      <w:r>
        <w:rPr>
          <w:rFonts w:asciiTheme="majorHAnsi" w:hAnsiTheme="majorHAnsi" w:cstheme="majorHAnsi"/>
          <w:bCs/>
          <w:i/>
          <w:snapToGrid w:val="0"/>
          <w:sz w:val="24"/>
          <w:szCs w:val="36"/>
          <w:lang w:eastAsia="de-DE" w:bidi="en-US"/>
        </w:rPr>
        <w:t>Research article</w:t>
      </w:r>
    </w:p>
    <w:p w14:paraId="352D829A" w14:textId="77777777" w:rsidR="003640D6" w:rsidRDefault="003640D6">
      <w:pPr>
        <w:spacing w:after="0" w:line="240" w:lineRule="auto"/>
        <w:rPr>
          <w:rFonts w:asciiTheme="majorHAnsi" w:hAnsiTheme="majorHAnsi" w:cstheme="majorHAnsi"/>
          <w:b/>
          <w:snapToGrid w:val="0"/>
          <w:sz w:val="18"/>
          <w:lang w:eastAsia="de-DE" w:bidi="en-US"/>
        </w:rPr>
      </w:pPr>
    </w:p>
    <w:p w14:paraId="2DF811FB" w14:textId="03DDE775" w:rsidR="003640D6" w:rsidRDefault="00000000">
      <w:pPr>
        <w:pStyle w:val="Heading1"/>
        <w:spacing w:before="0" w:after="0" w:line="240" w:lineRule="auto"/>
        <w:rPr>
          <w:rFonts w:asciiTheme="majorHAnsi" w:hAnsiTheme="majorHAnsi" w:cstheme="majorHAnsi"/>
          <w:bCs/>
          <w:sz w:val="36"/>
          <w:szCs w:val="36"/>
          <w:u w:val="none"/>
        </w:rPr>
      </w:pPr>
      <w:r>
        <w:rPr>
          <w:rFonts w:asciiTheme="majorHAnsi" w:hAnsiTheme="majorHAnsi" w:cstheme="majorHAnsi"/>
          <w:bCs/>
          <w:sz w:val="36"/>
          <w:szCs w:val="36"/>
          <w:u w:val="none"/>
        </w:rPr>
        <w:t>Reviewing the impact of COVID</w:t>
      </w:r>
      <w:r w:rsidR="008D658C">
        <w:rPr>
          <w:rFonts w:asciiTheme="majorHAnsi" w:hAnsiTheme="majorHAnsi" w:cstheme="majorHAnsi"/>
          <w:bCs/>
          <w:sz w:val="36"/>
          <w:szCs w:val="36"/>
          <w:u w:val="none"/>
        </w:rPr>
        <w:t>-</w:t>
      </w:r>
      <w:r>
        <w:rPr>
          <w:rFonts w:asciiTheme="majorHAnsi" w:hAnsiTheme="majorHAnsi" w:cstheme="majorHAnsi"/>
          <w:bCs/>
          <w:sz w:val="36"/>
          <w:szCs w:val="36"/>
          <w:u w:val="none"/>
        </w:rPr>
        <w:t>19 on the performance of small industries in South Sumatra</w:t>
      </w:r>
    </w:p>
    <w:p w14:paraId="20D6A154" w14:textId="77777777" w:rsidR="003640D6" w:rsidRDefault="00000000">
      <w:pPr>
        <w:pStyle w:val="MDPI14history"/>
        <w:spacing w:before="240" w:after="240"/>
        <w:ind w:left="311" w:hanging="198"/>
        <w:rPr>
          <w:rFonts w:asciiTheme="majorHAnsi" w:hAnsiTheme="majorHAnsi" w:cstheme="majorHAnsi"/>
          <w:sz w:val="22"/>
          <w:szCs w:val="22"/>
          <w:lang w:val="id-ID"/>
        </w:rPr>
      </w:pPr>
      <w:r>
        <w:rPr>
          <w:rFonts w:asciiTheme="majorHAnsi" w:hAnsiTheme="majorHAnsi" w:cstheme="majorHAnsi"/>
          <w:b/>
          <w:sz w:val="22"/>
          <w:szCs w:val="22"/>
        </w:rPr>
        <w:t>Article Info:</w:t>
      </w:r>
      <w:r>
        <w:rPr>
          <w:rFonts w:asciiTheme="majorHAnsi" w:hAnsiTheme="majorHAnsi" w:cstheme="majorHAnsi"/>
          <w:sz w:val="22"/>
          <w:szCs w:val="22"/>
        </w:rPr>
        <w:t xml:space="preserve"> Received: XX January 20XX; Accepted: XX February 20XX; Published: XX June 20XX</w:t>
      </w:r>
    </w:p>
    <w:p w14:paraId="64F7D081" w14:textId="77777777" w:rsidR="003640D6" w:rsidRDefault="00000000">
      <w:pPr>
        <w:pStyle w:val="NoSpacing"/>
        <w:tabs>
          <w:tab w:val="left" w:pos="284"/>
          <w:tab w:val="left" w:pos="851"/>
        </w:tabs>
        <w:ind w:left="142"/>
        <w:jc w:val="both"/>
        <w:rPr>
          <w:rFonts w:ascii="Times New Roman" w:hAnsi="Times New Roman" w:cs="Times New Roman"/>
          <w:sz w:val="20"/>
          <w:szCs w:val="20"/>
          <w:lang w:val="zh-CN"/>
        </w:rPr>
      </w:pPr>
      <w:commentRangeStart w:id="0"/>
      <w:r>
        <w:rPr>
          <w:rFonts w:asciiTheme="majorHAnsi" w:hAnsiTheme="majorHAnsi" w:cstheme="majorHAnsi"/>
          <w:b/>
          <w:sz w:val="20"/>
          <w:szCs w:val="20"/>
        </w:rPr>
        <w:t>Abstract</w:t>
      </w:r>
      <w:commentRangeEnd w:id="0"/>
      <w:r w:rsidR="008D658C">
        <w:rPr>
          <w:rStyle w:val="CommentReference"/>
          <w:rFonts w:ascii="Calibri" w:eastAsia="Calibri" w:hAnsi="Calibri" w:cs="Calibri"/>
          <w:color w:val="000000"/>
        </w:rPr>
        <w:commentReference w:id="0"/>
      </w:r>
      <w:r>
        <w:rPr>
          <w:rFonts w:asciiTheme="majorHAnsi" w:hAnsiTheme="majorHAnsi" w:cstheme="majorHAnsi"/>
          <w:b/>
          <w:sz w:val="20"/>
          <w:szCs w:val="20"/>
        </w:rPr>
        <w:t xml:space="preserve">: </w:t>
      </w:r>
      <w:r>
        <w:rPr>
          <w:rFonts w:asciiTheme="majorHAnsi" w:hAnsiTheme="majorHAnsi" w:cstheme="majorHAnsi"/>
          <w:sz w:val="20"/>
          <w:szCs w:val="20"/>
          <w:lang w:val="zh-CN"/>
        </w:rPr>
        <w:t>Small industries in South Sumatra are one of the main players of development. Its socio-political function as one of the sectors of fulfillment needs for the community is again hit by the test by the outbreak of the Covid 19 virus. The South Sumatra government's large-scale social restriction policy to withstand the development of the virus, on the other hand, has a negatip impact on small industries. Small industry players find it difficult to obtain raw materials, make sales, and distribute goods. This makes small industry turnover decrease, efficiency is also lower, and economies of scale are increasingly difficult to achieve. In other words, Covid 19 has had an adverse effect on the performance of small industries in South Sumatra.</w:t>
      </w:r>
      <w:r>
        <w:rPr>
          <w:rFonts w:ascii="Times New Roman" w:hAnsi="Times New Roman" w:cs="Times New Roman"/>
          <w:sz w:val="20"/>
          <w:szCs w:val="20"/>
          <w:lang w:val="zh-CN"/>
        </w:rPr>
        <w:t xml:space="preserve"> </w:t>
      </w:r>
    </w:p>
    <w:p w14:paraId="1206DF86" w14:textId="77777777" w:rsidR="003640D6" w:rsidRDefault="00000000">
      <w:pPr>
        <w:pBdr>
          <w:bottom w:val="single" w:sz="4" w:space="1" w:color="auto"/>
        </w:pBdr>
        <w:spacing w:before="120" w:after="120" w:line="240" w:lineRule="auto"/>
        <w:ind w:left="142"/>
        <w:jc w:val="both"/>
        <w:rPr>
          <w:sz w:val="20"/>
          <w:szCs w:val="20"/>
        </w:rPr>
      </w:pPr>
      <w:r>
        <w:rPr>
          <w:b/>
          <w:sz w:val="20"/>
          <w:szCs w:val="20"/>
        </w:rPr>
        <w:t xml:space="preserve">Keywords: </w:t>
      </w:r>
      <w:r>
        <w:rPr>
          <w:bCs/>
          <w:sz w:val="20"/>
          <w:szCs w:val="20"/>
        </w:rPr>
        <w:t>Covid 19, Profir, Effiency, Ecomies of Scala, Raw Material</w:t>
      </w:r>
    </w:p>
    <w:p w14:paraId="2CB9D86B" w14:textId="77777777" w:rsidR="003640D6" w:rsidRDefault="00000000">
      <w:pPr>
        <w:pBdr>
          <w:bottom w:val="single" w:sz="4" w:space="1" w:color="auto"/>
        </w:pBdr>
        <w:spacing w:before="120" w:after="0" w:line="240" w:lineRule="auto"/>
        <w:ind w:left="142"/>
        <w:jc w:val="both"/>
        <w:rPr>
          <w:b/>
          <w:sz w:val="20"/>
          <w:szCs w:val="20"/>
        </w:rPr>
      </w:pPr>
      <w:r>
        <w:rPr>
          <w:b/>
          <w:sz w:val="20"/>
          <w:szCs w:val="20"/>
        </w:rPr>
        <w:t xml:space="preserve">JEL Classification: </w:t>
      </w:r>
      <w:r>
        <w:rPr>
          <w:bCs/>
          <w:sz w:val="20"/>
          <w:szCs w:val="20"/>
        </w:rPr>
        <w:t>L60</w:t>
      </w:r>
    </w:p>
    <w:p w14:paraId="70B0584F" w14:textId="77777777" w:rsidR="003640D6" w:rsidRDefault="003640D6">
      <w:pPr>
        <w:pBdr>
          <w:bottom w:val="single" w:sz="4" w:space="1" w:color="auto"/>
        </w:pBdr>
        <w:spacing w:after="120" w:line="240" w:lineRule="auto"/>
        <w:ind w:left="142"/>
        <w:jc w:val="both"/>
        <w:rPr>
          <w:b/>
          <w:sz w:val="20"/>
          <w:szCs w:val="20"/>
        </w:rPr>
      </w:pPr>
    </w:p>
    <w:p w14:paraId="3838CDEE" w14:textId="77777777" w:rsidR="003640D6" w:rsidRDefault="00000000">
      <w:pPr>
        <w:spacing w:after="0" w:line="240" w:lineRule="auto"/>
        <w:ind w:left="113"/>
        <w:outlineLvl w:val="0"/>
        <w:rPr>
          <w:b/>
          <w:sz w:val="20"/>
        </w:rPr>
      </w:pPr>
      <w:r>
        <w:rPr>
          <w:b/>
          <w:sz w:val="20"/>
        </w:rPr>
        <w:t xml:space="preserve">How to Cite: </w:t>
      </w:r>
    </w:p>
    <w:p w14:paraId="7640E76B" w14:textId="77777777" w:rsidR="003640D6" w:rsidRDefault="00000000">
      <w:pPr>
        <w:spacing w:after="0" w:line="240" w:lineRule="auto"/>
        <w:ind w:left="113"/>
        <w:outlineLvl w:val="0"/>
        <w:rPr>
          <w:color w:val="auto"/>
          <w:sz w:val="20"/>
        </w:rPr>
      </w:pPr>
      <w:r>
        <w:rPr>
          <w:color w:val="auto"/>
          <w:sz w:val="20"/>
        </w:rPr>
        <w:t xml:space="preserve">Author. A. A., Author. A. A. (2020). Title of article. </w:t>
      </w:r>
      <w:r>
        <w:rPr>
          <w:i/>
          <w:color w:val="auto"/>
          <w:sz w:val="20"/>
        </w:rPr>
        <w:t>Jurnal Ekonomi Pembangunan, XX</w:t>
      </w:r>
      <w:r>
        <w:rPr>
          <w:color w:val="auto"/>
          <w:sz w:val="20"/>
        </w:rPr>
        <w:t>(X): xx-xx. DOI: https://doi.org/10.29259/jep.vXXiX......</w:t>
      </w:r>
    </w:p>
    <w:p w14:paraId="32FAEA69" w14:textId="77777777" w:rsidR="003640D6" w:rsidRDefault="00000000">
      <w:pPr>
        <w:spacing w:after="120" w:line="360" w:lineRule="auto"/>
        <w:ind w:left="113"/>
        <w:outlineLvl w:val="0"/>
        <w:rPr>
          <w:b/>
          <w:lang w:val="id-ID"/>
        </w:rPr>
      </w:pPr>
      <w:r>
        <w:rPr>
          <w:b/>
          <w:noProof/>
          <w:lang w:val="en-GB" w:eastAsia="en-GB"/>
        </w:rPr>
        <mc:AlternateContent>
          <mc:Choice Requires="wps">
            <w:drawing>
              <wp:anchor distT="0" distB="0" distL="114300" distR="114300" simplePos="0" relativeHeight="251659264" behindDoc="0" locked="0" layoutInCell="1" allowOverlap="1" wp14:anchorId="3F79BF7E" wp14:editId="3CB422CF">
                <wp:simplePos x="0" y="0"/>
                <wp:positionH relativeFrom="column">
                  <wp:posOffset>62865</wp:posOffset>
                </wp:positionH>
                <wp:positionV relativeFrom="paragraph">
                  <wp:posOffset>113030</wp:posOffset>
                </wp:positionV>
                <wp:extent cx="55816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581650" cy="0"/>
                        </a:xfrm>
                        <a:prstGeom prst="line">
                          <a:avLst/>
                        </a:prstGeom>
                        <a:ln w="31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4.95pt;margin-top:8.9pt;height:0pt;width:439.5pt;z-index:251659264;mso-width-relative:page;mso-height-relative:page;" filled="f" stroked="t" coordsize="21600,21600" o:gfxdata="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wFTNIAAAAHAQAADwAAAAAAAAABACAAAAAiAAAAZHJzL2Rv&#10;d25yZXYueG1sUEsBAhQAFAAAAAgAh07iQNf5YnPOAQAApwMAAA4AAAAAAAAAAQAgAAAAIQEAAGRy&#10;cy9lMm9Eb2MueG1sUEsFBgAAAAAGAAYAWQEAAGEFAAAAAA==&#10;">
                <v:fill on="f" focussize="0,0"/>
                <v:stroke weight="0.25pt" color="#000000 [3213]" joinstyle="round"/>
                <v:imagedata o:title=""/>
                <o:lock v:ext="edit" aspectratio="f"/>
              </v:line>
            </w:pict>
          </mc:Fallback>
        </mc:AlternateContent>
      </w:r>
    </w:p>
    <w:p w14:paraId="5EFF7F68" w14:textId="77777777" w:rsidR="003640D6" w:rsidRDefault="00000000">
      <w:pPr>
        <w:spacing w:before="240" w:after="120" w:line="240" w:lineRule="auto"/>
        <w:outlineLvl w:val="0"/>
        <w:rPr>
          <w:b/>
        </w:rPr>
      </w:pPr>
      <w:r>
        <w:rPr>
          <w:b/>
        </w:rPr>
        <w:t xml:space="preserve">1. INTRODUCTION </w:t>
      </w:r>
    </w:p>
    <w:p w14:paraId="0AC79AA4" w14:textId="77777777" w:rsidR="003640D6" w:rsidRDefault="00000000">
      <w:pPr>
        <w:autoSpaceDE w:val="0"/>
        <w:autoSpaceDN w:val="0"/>
        <w:adjustRightInd w:val="0"/>
        <w:spacing w:after="0" w:line="240" w:lineRule="auto"/>
        <w:ind w:firstLine="426"/>
        <w:jc w:val="both"/>
        <w:rPr>
          <w:lang w:val="zh-CN"/>
        </w:rPr>
      </w:pPr>
      <w:bookmarkStart w:id="1" w:name="gjdgxs" w:colFirst="0" w:colLast="0"/>
      <w:bookmarkStart w:id="2" w:name="30j0zll" w:colFirst="0" w:colLast="0"/>
      <w:bookmarkEnd w:id="1"/>
      <w:bookmarkEnd w:id="2"/>
      <w:r>
        <w:rPr>
          <w:lang w:val="zh-CN"/>
        </w:rPr>
        <w:t xml:space="preserve">The development of small industries in South Sumatra is not separated from the factors that drive the growth of the small industry, such as the utilization of technology, information and communication facilities, ease of borrowing of venture capital, decreased final PPH rates. However, the growth is considered still slow because some of these factors are considered not very effective, one of which is in the business taxation section. </w:t>
      </w:r>
    </w:p>
    <w:p w14:paraId="26844199" w14:textId="77777777" w:rsidR="003640D6" w:rsidRDefault="00000000">
      <w:pPr>
        <w:autoSpaceDE w:val="0"/>
        <w:autoSpaceDN w:val="0"/>
        <w:adjustRightInd w:val="0"/>
        <w:spacing w:after="0" w:line="240" w:lineRule="auto"/>
        <w:ind w:firstLine="426"/>
        <w:jc w:val="both"/>
        <w:rPr>
          <w:lang w:val="zh-CN"/>
        </w:rPr>
      </w:pPr>
      <w:r>
        <w:rPr>
          <w:lang w:val="zh-CN"/>
        </w:rPr>
        <w:t xml:space="preserve">In the midst of its development, small industry in South Sumatra in early 2020 was again tested in the face of economic impact due to the spread of corona virus or Corona Virus Disease 2019 (Covid-19) and its impact is increasingly felt in the economy in a massif, especially in terms of consumption, corporations, financial sector, and small industry. Small industry players in South Sumatra have begun to face various business difficulties since the Covid-19 outbreak spread in the country. Based on info from the Indonesian Association of Small and Medium Enterprises (MSMEs), small industry turnover began to fall since February 2020. Even as of March 2020, there are a number of small industries that have no income at all. In fact, there are some small industries that are laying off their employees due to financial difficulties. </w:t>
      </w:r>
    </w:p>
    <w:p w14:paraId="3AD55104" w14:textId="571F2CC5" w:rsidR="003640D6" w:rsidRDefault="00000000">
      <w:pPr>
        <w:autoSpaceDE w:val="0"/>
        <w:autoSpaceDN w:val="0"/>
        <w:adjustRightInd w:val="0"/>
        <w:spacing w:after="0" w:line="240" w:lineRule="auto"/>
        <w:ind w:firstLine="426"/>
        <w:jc w:val="both"/>
        <w:rPr>
          <w:lang w:val="zh-CN"/>
        </w:rPr>
      </w:pPr>
      <w:r>
        <w:rPr>
          <w:lang w:val="zh-CN"/>
        </w:rPr>
        <w:t xml:space="preserve">Emergency response status applied in some areas due to coronavirus outbreak, left small industrial workers out of work and forced to return home. The impact of the small industrial sector due to the Coronavirus outbreak has actually been predicted by the Lipi Economic Research Center (P2E LIPI). </w:t>
      </w:r>
      <w:commentRangeStart w:id="3"/>
      <w:r>
        <w:rPr>
          <w:lang w:val="zh-CN"/>
        </w:rPr>
        <w:t xml:space="preserve">The slowdown in the global economy due to the Coronavirus outbreak will have a significant impact on the economic viability of the small industrial sector, especially on the food and beverage business unit. If not careful in its handlers, there could be many small industries that will close businesses, both temporary and even permanent. The role of small industry players in the midst of the outbreak to maintain growth is very important. Currently what the government needs to do is to contain the spread of </w:t>
      </w:r>
      <w:r w:rsidR="008D658C">
        <w:rPr>
          <w:lang w:val="zh-CN"/>
        </w:rPr>
        <w:t>COVID</w:t>
      </w:r>
      <w:r>
        <w:rPr>
          <w:lang w:val="zh-CN"/>
        </w:rPr>
        <w:t xml:space="preserve">-19. Because, holding back the rate of </w:t>
      </w:r>
      <w:r w:rsidR="008D658C">
        <w:rPr>
          <w:lang w:val="zh-CN"/>
        </w:rPr>
        <w:t>COVID</w:t>
      </w:r>
      <w:r>
        <w:rPr>
          <w:lang w:val="zh-CN"/>
        </w:rPr>
        <w:t xml:space="preserve">-19 spread will have an effect on the economy. The question is, how long can it last, and how many industry players can survive?. </w:t>
      </w:r>
      <w:commentRangeEnd w:id="3"/>
      <w:r w:rsidR="00D229A4">
        <w:rPr>
          <w:rStyle w:val="CommentReference"/>
        </w:rPr>
        <w:commentReference w:id="3"/>
      </w:r>
      <w:r>
        <w:rPr>
          <w:lang w:val="zh-CN"/>
        </w:rPr>
        <w:t xml:space="preserve">Therefore, the government needs to take real steps to protect small industries affected by Covid 19. As experienced by some small industries in America that have temporaryly closed businesses since the covid-19 </w:t>
      </w:r>
      <w:r w:rsidRPr="00D229A4">
        <w:rPr>
          <w:highlight w:val="yellow"/>
          <w:lang w:val="zh-CN"/>
        </w:rPr>
        <w:t>covid-19 covid-19</w:t>
      </w:r>
      <w:r>
        <w:rPr>
          <w:lang w:val="zh-CN"/>
        </w:rPr>
        <w:t xml:space="preserve"> and are still waiting for further policies from its </w:t>
      </w:r>
      <w:r>
        <w:rPr>
          <w:lang w:val="zh-CN"/>
        </w:rPr>
        <w:lastRenderedPageBreak/>
        <w:t xml:space="preserve">government regarding subsidy policies to small industries affected by Covid 19 </w:t>
      </w:r>
      <w:r>
        <w:rPr>
          <w:lang w:val="zh-CN"/>
        </w:rPr>
        <w:fldChar w:fldCharType="begin" w:fldLock="1"/>
      </w:r>
      <w:r>
        <w:rPr>
          <w:lang w:val="zh-CN"/>
        </w:rPr>
        <w:instrText>ADDIN CSL_CITATION {"citationItems":[{"id":"ITEM-1","itemData":{"abstract":"Social distancing restrictions and health- and economic-driven demand shifts from COVID-19 are expected to shutter many small businesses and entrepreneurial ventures, but there is very little early evidence on impacts. This paper provides the first analysis of impacts of the pandemic on the number of active small businesses in the United States using nationally representative data from the April 2020 CPS – the first month fully capturing early effects. The number of active business owners in the United States plummeted by 3.3 million or 22 percent over the crucial two-month window from February to April 2020. The drop in active business owners was the largest on record, and losses to business activity were felt across nearly all industries. African- American businesses were hit especially hard experiencing a 41 percent drop in business activity. Latinx business owner activity fell by 32 percent, and Asian business owner activity dropped by 26 percent. Simulations indicate that industry compositions partly placed these groups at a higher risk of business activity losses. Immigrant business owners experienced substantial losses in business activity of 36 percent. Female business owners were also disproportionately affected (25 percent drop in business activity). Continuing the analysis in May and June, the number of active business owners remained low – down by 15 percent and 8 percent, respectively. The continued losses in May and June, and partial rebounds from April were felt across all demographic groups and most industries. These findings of early-stage losses to small business activity have important implications for policy, income losses, and future economic inequality.","author":[{"dropping-particle":"","family":"Fairlie","given":"Robert W","non-dropping-particle":"","parse-names":false,"suffix":""}],"container-title":"NBR Working Paper Series","id":"ITEM-1","issue":"1","issued":{"date-parts":[["2020"]]},"page":"1 - 28","title":"THE IMPACT OF COVID-19 ON SMALL BUSINESS OWNERS: THE FIRST THREE MONTHS AFTER SOCIAL-DISTANCING RESTRICTIONS","type":"article-journal","volume":"27462"},"uris":["http://www.mendeley.com/documents/?uuid=6acb573c-8567-4171-bc92-82a2974edd6f"]}],"mendeley":{"formattedCitation":"(Fairlie, 2020)","plainTextFormattedCitation":"(Fairlie, 2020)","previouslyFormattedCitation":"(Fairlie, 2020)"},"properties":{"noteIndex":0},"schema":"https://github.com/citation-style-language/schema/raw/master/csl-citation.json"}</w:instrText>
      </w:r>
      <w:r>
        <w:rPr>
          <w:lang w:val="zh-CN"/>
        </w:rPr>
        <w:fldChar w:fldCharType="separate"/>
      </w:r>
      <w:r>
        <w:rPr>
          <w:lang w:val="zh-CN"/>
        </w:rPr>
        <w:t>(Fairlie, 2020)</w:t>
      </w:r>
      <w:r>
        <w:rPr>
          <w:lang w:val="zh-CN"/>
        </w:rPr>
        <w:fldChar w:fldCharType="end"/>
      </w:r>
      <w:r>
        <w:rPr>
          <w:lang w:val="zh-CN"/>
        </w:rPr>
        <w:t>.</w:t>
      </w:r>
    </w:p>
    <w:p w14:paraId="2491D667" w14:textId="19DAAEE7" w:rsidR="003640D6" w:rsidRDefault="00000000">
      <w:pPr>
        <w:autoSpaceDE w:val="0"/>
        <w:autoSpaceDN w:val="0"/>
        <w:adjustRightInd w:val="0"/>
        <w:spacing w:after="0" w:line="240" w:lineRule="auto"/>
        <w:ind w:firstLine="426"/>
        <w:jc w:val="both"/>
        <w:rPr>
          <w:rFonts w:asciiTheme="majorHAnsi" w:hAnsiTheme="majorHAnsi" w:cstheme="majorHAnsi"/>
          <w:lang w:val="zh-CN"/>
        </w:rPr>
      </w:pPr>
      <w:r>
        <w:t xml:space="preserve">South Sumatra has several small industries that are dominant and are found throughout the district/city which is the scope of the administrative area. These small industry groups include small food industries (to know, crackers, chips); small industries and leather (convection), as well as small </w:t>
      </w:r>
      <w:r>
        <w:rPr>
          <w:rFonts w:asciiTheme="majorHAnsi" w:hAnsiTheme="majorHAnsi" w:cstheme="majorHAnsi"/>
        </w:rPr>
        <w:t xml:space="preserve">industries of chemicals and building materials (furniture). This small industry group does not escape the pressure of not being able to do business activities because there are no community activities. The problems facing small industries due to Covid 19 vary, ranging from falling sales turnover, raw material difficulties, falling demand, to difficulty distributing </w:t>
      </w:r>
      <w:r>
        <w:rPr>
          <w:rFonts w:asciiTheme="majorHAnsi" w:hAnsiTheme="majorHAnsi" w:cstheme="majorHAnsi"/>
        </w:rPr>
        <w:fldChar w:fldCharType="begin" w:fldLock="1"/>
      </w:r>
      <w:r>
        <w:rPr>
          <w:rFonts w:asciiTheme="majorHAnsi" w:hAnsiTheme="majorHAnsi" w:cstheme="majorHAnsi"/>
        </w:rPr>
        <w:instrText>ADDIN CSL_CITATION {"citationItems":[{"id":"ITEM-1","itemData":{"ISSN":"2146-4138","abstract":"Industrial agglomeration has become common discussion topic, particularly in relation to economic growth and the reduction of regional inequality between regions. The phenomenon that occurs at this time that the agglomeration of manufacturing industries in South Sumatra has not fully happened. However, the determination of South Sumatra province as one of the central regions of industrial growth reflects the high economic growth and low levels of income inequality are the effects of the agglomeration of manufacturing industry. The analysis technique used the simultaneous model with panel data interregional in South Sumatra with two-stage least square approach, during the period 2004-2014. The potential agglomeration of manufacturing industry is calculated using the Balassa index, while regional inequality calculated using Williamson index. The results showed that, (1) economic growth (G), income inequality (IW) and population (POP) exhibited significantly effect on agglomeration of manufacturing industry (IB); (2) agglomeration of manufacturing industry, population, per capita income (YCap t) and a per capita income of the previous year (YCap t−1) a significant effect on economic growth; and (3) economic growth (G t), economic growth in the previous year (G t−1) and agglomeration of manufacturing industry significant influence on income inequality.","author":[{"dropping-particle":"","family":"Mukhlis","given":"","non-dropping-particle":"","parse-names":false,"suffix":""},{"dropping-particle":"","family":"Robiani","given":"Bernadette","non-dropping-particle":"","parse-names":false,"suffix":""},{"dropping-particle":"","family":"Marwa","given":"Taufiq","non-dropping-particle":"","parse-names":false,"suffix":""},{"dropping-particle":"","family":"Chodijah","given":"Rosmiyati","non-dropping-particle":"","parse-names":false,"suffix":""}],"container-title":"International Journal of Economics and Financial Issues","id":"ITEM-1","issue":"4","issued":{"date-parts":[["2017"]]},"page":"214-224","title":"Agglomeration of Manufacturing Industrial, Economic Growth, And Interregional Inequality in South Sumatra, Indonesia","type":"article-journal","volume":"7"},"uris":["http://www.mendeley.com/documents/?uuid=53c176dc-fb72-3f29-a517-b3133e33a311"]}],"mendeley":{"formattedCitation":"(Mukhlis, Robiani, Marwa, &amp; Chodijah, 2017)","plainTextFormattedCitation":"(Mukhlis, Robiani, Marwa, &amp; Chodijah, 2017)","previouslyFormattedCitation":"(Mukhlis, Robiani, Marwa, &amp; Chodijah, 2017)"},"properties":{"noteIndex":0},"schema":"https://github.com/citation-style-language/schema/raw/master/csl-citation.json"}</w:instrText>
      </w:r>
      <w:r>
        <w:rPr>
          <w:rFonts w:asciiTheme="majorHAnsi" w:hAnsiTheme="majorHAnsi" w:cstheme="majorHAnsi"/>
        </w:rPr>
        <w:fldChar w:fldCharType="separate"/>
      </w:r>
      <w:r>
        <w:rPr>
          <w:rFonts w:asciiTheme="majorHAnsi" w:hAnsiTheme="majorHAnsi" w:cstheme="majorHAnsi"/>
        </w:rPr>
        <w:t>(Mukhlis, Robiani, Marwa, &amp; Chodijah, 2017)</w:t>
      </w:r>
      <w:r>
        <w:rPr>
          <w:rFonts w:asciiTheme="majorHAnsi" w:hAnsiTheme="majorHAnsi" w:cstheme="majorHAnsi"/>
        </w:rPr>
        <w:fldChar w:fldCharType="end"/>
      </w:r>
      <w:r>
        <w:rPr>
          <w:rFonts w:asciiTheme="majorHAnsi" w:hAnsiTheme="majorHAnsi" w:cstheme="majorHAnsi"/>
          <w:lang w:val="zh-CN"/>
        </w:rPr>
        <w:t xml:space="preserve">. </w:t>
      </w:r>
      <w:commentRangeStart w:id="4"/>
      <w:r>
        <w:rPr>
          <w:rFonts w:asciiTheme="majorHAnsi" w:hAnsiTheme="majorHAnsi" w:cstheme="majorHAnsi"/>
          <w:lang w:val="zh-CN"/>
        </w:rPr>
        <w:t xml:space="preserve">This issue makes the ability to meet credit obligations impaired, not to mention to meet household needs, and salaries, as well as other costs. This will have a profound effect on the inerja of small industries. </w:t>
      </w:r>
      <w:commentRangeEnd w:id="4"/>
      <w:r w:rsidR="00D229A4">
        <w:rPr>
          <w:rStyle w:val="CommentReference"/>
        </w:rPr>
        <w:commentReference w:id="4"/>
      </w:r>
    </w:p>
    <w:p w14:paraId="09DAFFFE" w14:textId="77777777" w:rsidR="003640D6" w:rsidRDefault="00000000">
      <w:pPr>
        <w:autoSpaceDE w:val="0"/>
        <w:autoSpaceDN w:val="0"/>
        <w:adjustRightInd w:val="0"/>
        <w:spacing w:after="0" w:line="240" w:lineRule="auto"/>
        <w:ind w:firstLine="426"/>
        <w:jc w:val="both"/>
        <w:rPr>
          <w:rFonts w:asciiTheme="majorHAnsi" w:hAnsiTheme="majorHAnsi" w:cstheme="majorHAnsi"/>
          <w:lang w:val="zh-CN"/>
        </w:rPr>
      </w:pPr>
      <w:r>
        <w:rPr>
          <w:rFonts w:asciiTheme="majorHAnsi" w:hAnsiTheme="majorHAnsi" w:cstheme="majorHAnsi"/>
          <w:lang w:val="zh-CN"/>
        </w:rPr>
        <w:t xml:space="preserve">However, there are several factors that make the small industry in South Sumatra still able to survive the Covid-19 outbreak. First, generally small industries produce consumer goods and services that are close to the needs of the community. The drastically declining public income does not have much effect on the demand for goods and services produced. Small industries can still move and absorb labor despite limited numbers and in covid-19 situations; second, small industries generally utilize local resources, both human resources, capital, raw materials, and equipment; and third, generally small industries are not supported by loans from banks, but rather from their own funds </w:t>
      </w:r>
      <w:r>
        <w:rPr>
          <w:rFonts w:asciiTheme="majorHAnsi" w:hAnsiTheme="majorHAnsi" w:cstheme="majorHAnsi"/>
          <w:lang w:val="zh-CN"/>
        </w:rPr>
        <w:fldChar w:fldCharType="begin" w:fldLock="1"/>
      </w:r>
      <w:r>
        <w:rPr>
          <w:rFonts w:asciiTheme="majorHAnsi" w:hAnsiTheme="majorHAnsi" w:cstheme="majorHAnsi"/>
          <w:lang w:val="zh-CN"/>
        </w:rPr>
        <w:instrText>ADDIN CSL_CITATION {"citationItems":[{"id":"ITEM-1","itemData":{"abstract":"In addition to its impact on public health, COVID-19 has had a major impact on the economy. To shed light on how COVID-19 is affecting small businesses – and on the likely impact of the recent stimulus bill, we conducted a survey of more than 5,800 small businesses. Several main themes emerge from the results. First, mass layoffs and closures have already occurred. In our sample, 43 percent of businesses are temporarily closed, and businesses have – on average – reduced their employee counts by 40 percent relative to January. Second, consistent with previous literature, we find that many small businesses are financially fragile. For example, the median business has more than $10,000 in monthly expenses and less than one month of cash on hand. Third, businesses have widely varying beliefs about the likely duration of COVID related disruptions. Fourth, the majority of businesses planned to seek funding through the CARES act. However, many anticipated problems with accessing the aid, such as bureaucratic hassles and difficulties establishing eligibility. Alexander","author":[{"dropping-particle":"","family":"Bartik","given":"Alexander W","non-dropping-particle":"","parse-names":false,"suffix":""},{"dropping-particle":"","family":"Cullen","given":"Zoë B","non-dropping-particle":"","parse-names":false,"suffix":""},{"dropping-particle":"","family":"Glaeser","given":"Edward L","non-dropping-particle":"","parse-names":false,"suffix":""},{"dropping-particle":"","family":"Stanton","given":"Christopher T","non-dropping-particle":"","parse-names":false,"suffix":""},{"dropping-particle":"","family":"Bartik","given":"Alexander W","non-dropping-particle":"","parse-names":false,"suffix":""},{"dropping-particle":"","family":"Bertrand","given":"Marianne","non-dropping-particle":"","parse-names":false,"suffix":""},{"dropping-particle":"","family":"Cullen","given":"Zoë B","non-dropping-particle":"","parse-names":false,"suffix":""},{"dropping-particle":"","family":"Glaeser","given":"Edward L","non-dropping-particle":"","parse-names":false,"suffix":""},{"dropping-particle":"","family":"Luca","given":"Michael","non-dropping-particle":"","parse-names":false,"suffix":""},{"dropping-particle":"","family":"Stanton","given":"Christopher T","non-dropping-particle":"","parse-names":false,"suffix":""}],"id":"ITEM-1","issue":"1","issued":{"date-parts":[["2020"]]},"page":"1 - 35","title":"HOW ARE SMALL BUSINESSES ADJUSTING TO COVID-19? EARLY EVIDENCE FROM A SURVEY","type":"article-journal","volume":"26989"},"uris":["http://www.mendeley.com/documents/?uuid=008ba758-9811-4c14-88dc-1cefe2a9fa4e"]}],"mendeley":{"formattedCitation":"(Bartik et al., 2020)","plainTextFormattedCitation":"(Bartik et al., 2020)","previouslyFormattedCitation":"(Bartik et al., 2020)"},"properties":{"noteIndex":0},"schema":"https://github.com/citation-style-language/schema/raw/master/csl-citation.json"}</w:instrText>
      </w:r>
      <w:r>
        <w:rPr>
          <w:rFonts w:asciiTheme="majorHAnsi" w:hAnsiTheme="majorHAnsi" w:cstheme="majorHAnsi"/>
          <w:lang w:val="zh-CN"/>
        </w:rPr>
        <w:fldChar w:fldCharType="separate"/>
      </w:r>
      <w:r>
        <w:rPr>
          <w:rFonts w:asciiTheme="majorHAnsi" w:hAnsiTheme="majorHAnsi" w:cstheme="majorHAnsi"/>
          <w:lang w:val="zh-CN"/>
        </w:rPr>
        <w:t>(Bartik et al., 2020)</w:t>
      </w:r>
      <w:r>
        <w:rPr>
          <w:rFonts w:asciiTheme="majorHAnsi" w:hAnsiTheme="majorHAnsi" w:cstheme="majorHAnsi"/>
          <w:lang w:val="zh-CN"/>
        </w:rPr>
        <w:fldChar w:fldCharType="end"/>
      </w:r>
      <w:r>
        <w:rPr>
          <w:rFonts w:asciiTheme="majorHAnsi" w:hAnsiTheme="majorHAnsi" w:cstheme="majorHAnsi"/>
          <w:lang w:val="zh-CN"/>
        </w:rPr>
        <w:t>.</w:t>
      </w:r>
    </w:p>
    <w:p w14:paraId="319B6D32" w14:textId="77777777" w:rsidR="003640D6" w:rsidRDefault="00000000">
      <w:pPr>
        <w:autoSpaceDE w:val="0"/>
        <w:autoSpaceDN w:val="0"/>
        <w:adjustRightInd w:val="0"/>
        <w:spacing w:after="0" w:line="240" w:lineRule="auto"/>
        <w:ind w:firstLine="426"/>
        <w:jc w:val="both"/>
        <w:rPr>
          <w:rFonts w:asciiTheme="majorHAnsi" w:hAnsiTheme="majorHAnsi" w:cstheme="majorHAnsi"/>
          <w:lang w:val="zh-CN"/>
        </w:rPr>
      </w:pPr>
      <w:r>
        <w:rPr>
          <w:rFonts w:asciiTheme="majorHAnsi" w:hAnsiTheme="majorHAnsi" w:cstheme="majorHAnsi"/>
          <w:lang w:val="zh-CN"/>
        </w:rPr>
        <w:t>Based on the phenomenon, this study will examine the effect of Covid 19 on the performance of small industries in South Sumatra. Performance indicators that will be used as a basis for study are economies of scale that will be calculated from several other indicators such as marketing costs, raw material and transportation costs, wages, and profits in small industries. In addition, it will try to formulate a proposed strategy that can be carried out by small industries in an effort to stay afloat during the covid-19 pandemic.</w:t>
      </w:r>
    </w:p>
    <w:p w14:paraId="32B8DA4D" w14:textId="77777777" w:rsidR="003640D6" w:rsidRDefault="00000000">
      <w:pPr>
        <w:autoSpaceDE w:val="0"/>
        <w:autoSpaceDN w:val="0"/>
        <w:adjustRightInd w:val="0"/>
        <w:spacing w:after="0" w:line="240" w:lineRule="auto"/>
        <w:ind w:firstLine="426"/>
        <w:jc w:val="both"/>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{"citationItems":[{"id":"ITEM-1","itemData":{"DOI":"10.1016/j.indmarman.2020.05.016","ISSN":"0019-8501","abstract":"Although coopetition (simultaneous cooperation and competition) should positively affect company perfor- mance, it is unclear how implementation of these business-to-business marketing strategies can take place during large-scale emergencies. Therefore, guided by resource-based theory and the relational view, this investigation examines how organisations have used coopetition to cope with the novel Coronavirus (COVID-19) pandemic. Key examples include retailers sharing information about stock levels, pharmaceutical organisations working together to develop a vaccine, technological giants collaborating for the greater good, and charities forming alliances for a joint cause. This paper strengthens the extant literature by highlighting the heterogeneity of coopetition strategies that firms can use within a global crisis. Practitioners must balance the risks and rewards of coopetition activities. In turn, they should decide whether to continue to cooperate with their competitors once the pandemic has ended, or resume operating under individualistic business models. This article ends with some future research directions.","author":[{"dropping-particle":"","family":"Crick","given":"James M.","non-dropping-particle":"","parse-names":false,"suffix":""},{"dropping-particle":"","family":"Crick","given":"Dave","non-dropping-particle":"","parse-names":false,"suffix":""}],"container-title":"Industrial Marketing Management","id":"ITEM-1","issue":"May","issued":{"date-parts":[["2020"]]},"page":"206-213","publisher":"Elsevier","title":"Coopetition and COVID-19 : Collaborative business-to-business marketing strategies in a pandemic crisis","type":"article-journal","volume":"88"},"uris":["http://www.mendeley.com/documents/?uuid=7433cf64-6d37-4773-b0d4-2f2ca3104437"]}],"mendeley":{"formattedCitation":"(Crick &amp; Crick, 2020)","manualFormatting":"Crick &amp; Crick (2020)","plainTextFormattedCitation":"(Crick &amp; Crick, 2020)","previouslyFormattedCitation":"(Crick &amp; Crick, 2020)"},"properties":{"noteIndex":0},"schema":"https://github.com/citation-style-language/schema/raw/master/csl-citation.json"}</w:instrText>
      </w:r>
      <w:r>
        <w:rPr>
          <w:rFonts w:asciiTheme="majorHAnsi" w:hAnsiTheme="majorHAnsi" w:cstheme="majorHAnsi"/>
        </w:rPr>
        <w:fldChar w:fldCharType="separate"/>
      </w:r>
      <w:r>
        <w:rPr>
          <w:rFonts w:asciiTheme="majorHAnsi" w:hAnsiTheme="majorHAnsi" w:cstheme="majorHAnsi"/>
        </w:rPr>
        <w:t>Crick &amp; Crick (2020)</w:t>
      </w:r>
      <w:r>
        <w:rPr>
          <w:rFonts w:asciiTheme="majorHAnsi" w:hAnsiTheme="majorHAnsi" w:cstheme="majorHAnsi"/>
        </w:rPr>
        <w:fldChar w:fldCharType="end"/>
      </w:r>
      <w:r>
        <w:rPr>
          <w:rFonts w:asciiTheme="majorHAnsi" w:hAnsiTheme="majorHAnsi" w:cstheme="majorHAnsi"/>
        </w:rPr>
        <w:t xml:space="preserve"> in his study of the collaborative marketing stretagi of the pharmaceutical industry in Canada in the Covid 19 pandemic crisis, found: 1) co-marketing can be an effective business-to-business marketing strategy in a pandemic and has the potential to benefit organizations involved in partnerships; 2) koopetisi activities consist of cooperative and competitive forces, where decision makers must be careful with which competitors they collaborate with, as there can be adverse results on their performance; and 3) after the COVID-19 outbreak ends, there are questions about whether this existing co-optasi strategy will continue, or be discontinued in the future.</w:t>
      </w:r>
    </w:p>
    <w:p w14:paraId="789B8C38" w14:textId="77777777" w:rsidR="003640D6" w:rsidRDefault="00000000">
      <w:pPr>
        <w:autoSpaceDE w:val="0"/>
        <w:autoSpaceDN w:val="0"/>
        <w:adjustRightInd w:val="0"/>
        <w:spacing w:after="0" w:line="240" w:lineRule="auto"/>
        <w:ind w:firstLine="426"/>
        <w:jc w:val="both"/>
        <w:rPr>
          <w:rFonts w:asciiTheme="majorHAnsi" w:hAnsiTheme="majorHAnsi" w:cstheme="majorHAnsi"/>
        </w:rPr>
      </w:pPr>
      <w:r>
        <w:rPr>
          <w:rFonts w:asciiTheme="majorHAnsi" w:hAnsiTheme="majorHAnsi" w:cstheme="majorHAnsi"/>
        </w:rPr>
        <w:t xml:space="preserve">Other research on the decision to reopen businesses and confirm demand during the Covid 19 pandemic by </w:t>
      </w:r>
      <w:r>
        <w:rPr>
          <w:rFonts w:asciiTheme="majorHAnsi" w:hAnsiTheme="majorHAnsi" w:cstheme="majorHAnsi"/>
        </w:rPr>
        <w:fldChar w:fldCharType="begin" w:fldLock="1"/>
      </w:r>
      <w:r>
        <w:rPr>
          <w:rFonts w:asciiTheme="majorHAnsi" w:hAnsiTheme="majorHAnsi" w:cstheme="majorHAnsi"/>
        </w:rPr>
        <w:instrText>ADDIN CSL_CITATION {"citationItems":[{"id":"ITEM-1","itemData":{"abstract":"How quickly will American businesses reopen after COVID-19 lockdowns end? We use a nation- wide survey of small businesses to measure firms’ expectations about their re-opening and future demand. A plurality of firms in our sample expect to reopen within days of the end of legal restrictions, but a sizable minority expect to delay their reopening. While health-related variables, such as COVID-19 case rates and physical proximity of workers, do explain the prevalence and expected duration of regulated lockdown, these variables have little or no correlation with post- lockdown reopening intentions. Instead, almost one half of closed or partially open businesses said that their reopening would depend on the reopening of related businesses, including customers and suppliers. Owners expect demand to be one-third lower than before the crisis through autumn. Firms with more pessimistic expectations about demand predict a later reopening. Using an instrumental variables strategy, we estimate the relationship between demand expectations and reopening. These estimates suggest that post-lockdown delays in reopening can be explained by low levels of expected demand. I.","author":[{"dropping-particle":"","family":"Balla-elliott","given":"Dylan","non-dropping-particle":"","parse-names":false,"suffix":""},{"dropping-particle":"","family":"Cullen","given":"Zoë B","non-dropping-particle":"","parse-names":false,"suffix":""},{"dropping-particle":"","family":"Glaeser","given":"Edward L","non-dropping-particle":"","parse-names":false,"suffix":""},{"dropping-particle":"","family":"Stanton","given":"Christopher T","non-dropping-particle":"","parse-names":false,"suffix":""}],"collection-title":"1","container-title":"NBER Working Paper Series","id":"ITEM-1","issued":{"date-parts":[["2020"]]},"number":"27363","number-of-pages":"1 - 71","title":"BUSINESS REOPENING DECISIONS AND DEMAND FORECASTS DURING THE COVID-19 PANDEMIC","type":"report"},"uris":["http://www.mendeley.com/documents/?uuid=ec8ebba3-6a20-44e2-9fd1-c3cb5a3929c3"]}],"mendeley":{"formattedCitation":"(Balla-elliott, Cullen, Glaeser, &amp; Stanton, 2020)","manualFormatting":"Balla-elliott, Cullen, Glaeser, &amp; Stanton (2020)","plainTextFormattedCitation":"(Balla-elliott, Cullen, Glaeser, &amp; Stanton, 2020)","previouslyFormattedCitation":"(Balla-elliott, Cullen, Glaeser, &amp; Stanton, 2020)"},"properties":{"noteIndex":0},"schema":"https://github.com/citation-style-language/schema/raw/master/csl-citation.json"}</w:instrText>
      </w:r>
      <w:r>
        <w:rPr>
          <w:rFonts w:asciiTheme="majorHAnsi" w:hAnsiTheme="majorHAnsi" w:cstheme="majorHAnsi"/>
        </w:rPr>
        <w:fldChar w:fldCharType="separate"/>
      </w:r>
      <w:r>
        <w:rPr>
          <w:rFonts w:asciiTheme="majorHAnsi" w:hAnsiTheme="majorHAnsi" w:cstheme="majorHAnsi"/>
        </w:rPr>
        <w:t>Balla-elliott, Cullen, Glaeser, &amp; Stanton (2020)</w:t>
      </w:r>
      <w:r>
        <w:rPr>
          <w:rFonts w:asciiTheme="majorHAnsi" w:hAnsiTheme="majorHAnsi" w:cstheme="majorHAnsi"/>
        </w:rPr>
        <w:fldChar w:fldCharType="end"/>
      </w:r>
      <w:r>
        <w:rPr>
          <w:rFonts w:asciiTheme="majorHAnsi" w:hAnsiTheme="majorHAnsi" w:cstheme="majorHAnsi"/>
        </w:rPr>
        <w:t xml:space="preserve">, against small business owners in the United States found that the reopening of small companies was more driven by their economic need to survive than by their concerns about public health. Several other findings underscore that the reopening decision is closely related to expectations about future demand. If the downstream business is not opened, this will affect the performance of their business. </w:t>
      </w:r>
    </w:p>
    <w:commentRangeStart w:id="5"/>
    <w:p w14:paraId="025F2ECB" w14:textId="77777777" w:rsidR="003640D6" w:rsidRDefault="00000000">
      <w:pPr>
        <w:autoSpaceDE w:val="0"/>
        <w:autoSpaceDN w:val="0"/>
        <w:adjustRightInd w:val="0"/>
        <w:spacing w:after="0" w:line="240" w:lineRule="auto"/>
        <w:ind w:firstLine="426"/>
        <w:jc w:val="both"/>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 xml:space="preserve">ADDIN CSL_CITATION {"citationItems":[{"id":"ITEM-1","itemData":{"abstract":"During the coronavirus disease (COVID-19) crisis, governments around the world have imple- mented large-scale anti-contagion policies to contain the spread of the SARS-CoV-2 virus in combination with a series of economic policies to mitigate the economic damage, such as the provision of subsidies. In this study, we evaluate the short-run trade-off between the epidemi- ological and economic goals as well as the potential medium-run benefits of the anti-contagion and economic policies using a survey on Japanese small business managers’ expectations about the pandemic, policies, and firm performance. We find three main results. First, Japan’s anti- contagion policy, the unenforceable state of emergency declaration, decreased year-on-year sales by 5 percentage points in April 2020 compared to March. Firms’ expectations significantly improved in the week that the emergency state was partially lifted and the government an- nounced clear guidelines for lifting the emergency state. Second, we find that simple lump-sum government benefits improved firms’ prospects for survival by exploiting a discontinuity in the eligibility criteria. However, firms did not yet expect to use short-time work compensation, which requires additional review, time, and costs. Third, managers expected the medium-run recovery of their firms’ performance to depend on when infections would end and whether the Olympic Games could be held, indicating that stringent short-run anti-contagion policies could complement the longer-run economic goal. This study contributes to the policy debate about the optimal economic and epidemiological policies under the pandemic by quantifying the key effects of the policies.","author":[{"dropping-particle":"","family":"Kawaguchi","given":"Kohei","non-dropping-particle":"","parse-names":false,"suffix":""},{"dropping-particle":"","family":"Kodama","given":"Naomi","non-dropping-particle":"","parse-names":false,"suffix":""}],"container-title":"SSRN","id":"ITEM-1","issued":{"date-parts":[["2020"]]},"number-of-pages":"1 - 61","title":"Small Business under the COVID-19 Crisis : Expected Short- and Medium-Run Effects of Anti-Contagion and Economic Policies </w:instrText>
      </w:r>
      <w:r>
        <w:rPr>
          <w:rFonts w:ascii="Cambria Math" w:hAnsi="Cambria Math" w:cs="Cambria Math"/>
        </w:rPr>
        <w:instrText>∗</w:instrText>
      </w:r>
      <w:r>
        <w:rPr>
          <w:rFonts w:asciiTheme="majorHAnsi" w:hAnsiTheme="majorHAnsi" w:cstheme="majorHAnsi"/>
        </w:rPr>
        <w:instrText>","type":"report"},"uris":["http://www.mendeley.com/documents/?uuid=e837be69-0a21-4268-8236-b675a39b0f07"]}],"mendeley":{"formattedCitation":"(Kawaguchi &amp; Kodama, 2020)","manualFormatting":"Kawaguchi &amp; Kodama (2020)","plainTextFormattedCitation":"(Kawaguchi &amp; Kodama, 2020)","previouslyFormattedCitation":"(Kawaguchi &amp; Kodama, 2020)"},"properties":{"noteIndex":0},"schema":"https://github.com/citation-style-language/schema/raw/master/csl-citation.json"}</w:instrText>
      </w:r>
      <w:r>
        <w:rPr>
          <w:rFonts w:asciiTheme="majorHAnsi" w:hAnsiTheme="majorHAnsi" w:cstheme="majorHAnsi"/>
        </w:rPr>
        <w:fldChar w:fldCharType="separate"/>
      </w:r>
      <w:r>
        <w:rPr>
          <w:rFonts w:asciiTheme="majorHAnsi" w:hAnsiTheme="majorHAnsi" w:cstheme="majorHAnsi"/>
        </w:rPr>
        <w:t>Kawaguchi &amp; Kodama (2020)</w:t>
      </w:r>
      <w:r>
        <w:rPr>
          <w:rFonts w:asciiTheme="majorHAnsi" w:hAnsiTheme="majorHAnsi" w:cstheme="majorHAnsi"/>
        </w:rPr>
        <w:fldChar w:fldCharType="end"/>
      </w:r>
      <w:r>
        <w:rPr>
          <w:rFonts w:asciiTheme="majorHAnsi" w:hAnsiTheme="majorHAnsi" w:cstheme="majorHAnsi"/>
        </w:rPr>
        <w:t>, in its review of the short- and medium-term effects on small businesses in Japan as a result of the Covid 19 anti-ulran policy found that: 1) anti-contagion policies in Japan have decreased sales turnover by 5 points each month; 2) government assistance improves the prospects for small businesses to survive, but small industries do not yet expect to use short-term employment compensation, which requires additional review, time, and cost; and 3) business owners expect a medium-term recovery from their business performance and rely heavily on when the infection will end. Thus, strict short-term anti-contagion policies can complement long-term economic goals.</w:t>
      </w:r>
    </w:p>
    <w:p w14:paraId="1892CB56" w14:textId="77777777" w:rsidR="003640D6" w:rsidRDefault="00000000">
      <w:pPr>
        <w:autoSpaceDE w:val="0"/>
        <w:autoSpaceDN w:val="0"/>
        <w:adjustRightInd w:val="0"/>
        <w:spacing w:after="0" w:line="240" w:lineRule="auto"/>
        <w:ind w:firstLine="426"/>
        <w:jc w:val="both"/>
        <w:rPr>
          <w:rFonts w:asciiTheme="majorHAnsi" w:hAnsiTheme="majorHAnsi" w:cstheme="majorHAnsi"/>
        </w:rPr>
      </w:pPr>
      <w:r>
        <w:rPr>
          <w:rFonts w:asciiTheme="majorHAnsi" w:hAnsiTheme="majorHAnsi" w:cstheme="majorHAnsi"/>
        </w:rPr>
        <w:t xml:space="preserve">On the other hand, the study of how to help small businesses to survive Covid 19, conducted by </w:t>
      </w:r>
      <w:r>
        <w:rPr>
          <w:rFonts w:asciiTheme="majorHAnsi" w:hAnsiTheme="majorHAnsi" w:cstheme="majorHAnsi"/>
        </w:rPr>
        <w:fldChar w:fldCharType="begin" w:fldLock="1"/>
      </w:r>
      <w:r>
        <w:rPr>
          <w:rFonts w:asciiTheme="majorHAnsi" w:hAnsiTheme="majorHAnsi" w:cstheme="majorHAnsi"/>
        </w:rPr>
        <w:instrText>ADDIN CSL_CITATION {"citationItems":[{"id":"ITEM-1","itemData":{"abstract":"Small businesses are among the hardest hit by the COVID-19 crisis. Many are shuttered, and far more face cash flow constraints, raising questions about just how many will survive this recession. The government has responded with a critical forgivable loan program, but for many of these businesses, this program alone will not provide the cash they need to retain workers, pay rent, and help their business come back to life when Americans are no longer sheltering in place. This essay calls on regulators to find new and creative ways to work with existing intermediaries, including banks and online lenders, who have the infrastructure and tools needed to help small businesses get the additional loans they need to survive and thrive. Leveraging existing institutions could enhance the speed, scale, and scope of the government’s response, all critical virtues in the efforts to support small business.","author":[{"dropping-particle":"","family":"Baker","given":"Todd","non-dropping-particle":"","parse-names":false,"suffix":""},{"dropping-particle":"","family":"Judge","given":"Kathryn","non-dropping-particle":"","parse-names":false,"suffix":""}],"id":"ITEM-1","issued":{"date-parts":[["2020"]]},"number-of-pages":"1-12","title":"How to Help Small Businesses Survive COVID-19","type":"report"},"uris":["http://www.mendeley.com/documents/?uuid=a889c943-ebdb-4a03-8a4b-bc1f2e0dfa9e"]}],"mendeley":{"formattedCitation":"(T. Baker &amp; Judge, 2020)","manualFormatting":"Baker &amp; Judge (2020)","plainTextFormattedCitation":"(T. Baker &amp; Judge, 2020)","previouslyFormattedCitation":"(T. Baker &amp; Judge, 2020)"},"properties":{"noteIndex":0},"schema":"https://github.com/citation-style-language/schema/raw/master/csl-citation.json"}</w:instrText>
      </w:r>
      <w:r>
        <w:rPr>
          <w:rFonts w:asciiTheme="majorHAnsi" w:hAnsiTheme="majorHAnsi" w:cstheme="majorHAnsi"/>
        </w:rPr>
        <w:fldChar w:fldCharType="separate"/>
      </w:r>
      <w:r>
        <w:rPr>
          <w:rFonts w:asciiTheme="majorHAnsi" w:hAnsiTheme="majorHAnsi" w:cstheme="majorHAnsi"/>
        </w:rPr>
        <w:t>Baker &amp; Judge (2020)</w:t>
      </w:r>
      <w:r>
        <w:rPr>
          <w:rFonts w:asciiTheme="majorHAnsi" w:hAnsiTheme="majorHAnsi" w:cstheme="majorHAnsi"/>
        </w:rPr>
        <w:fldChar w:fldCharType="end"/>
      </w:r>
      <w:r>
        <w:rPr>
          <w:rFonts w:asciiTheme="majorHAnsi" w:hAnsiTheme="majorHAnsi" w:cstheme="majorHAnsi"/>
        </w:rPr>
        <w:t xml:space="preserve"> small businesses in the United States. Small businesses are among the business groups hardest hit by Covid 19. Government intervention is necessary to assist small businesses by cooperating and coordinating with other relevant parties/ institutions to provide full access to adequate financing for small businesses to survive the shock of the Covid 19 pandemic. </w:t>
      </w:r>
    </w:p>
    <w:p w14:paraId="528F4E74" w14:textId="77777777" w:rsidR="003640D6" w:rsidRDefault="00000000">
      <w:pPr>
        <w:autoSpaceDE w:val="0"/>
        <w:autoSpaceDN w:val="0"/>
        <w:adjustRightInd w:val="0"/>
        <w:spacing w:after="0" w:line="240" w:lineRule="auto"/>
        <w:ind w:firstLine="426"/>
        <w:jc w:val="both"/>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{"citationItems":[{"id":"ITEM-1","itemData":{"DOI":"10.1016/j.ijinfomgt.2020.102192","ISSN":"0268-4012","abstract":"Scholars have highlighted the role of Digital Technologies (DT) in enhancing productivity and performance in Small and Medium Enterprises (SMEs). However, there is limited evidence on the use of DT for dealing with the consequences of extreme events, such as COVID-19. We discuss this gap by (i) outlining potential research avenues and (ii) reflecting on the managerial implications of using DT within SMEs to deal with the repercus- sions of COVID-19 and securing business continuity.","author":[{"dropping-particle":"","family":"Papadopoulos","given":"Thanos","non-dropping-particle":"","parse-names":false,"suffix":""},{"dropping-particle":"","family":"Baltas","given":"Konstantinos N","non-dropping-particle":"","parse-names":false,"suffix":""},{"dropping-particle":"","family":"Elisavet","given":"Maria","non-dropping-particle":"","parse-names":false,"suffix":""}],"container-title":"International Journal of Information Management","id":"ITEM-1","issue":"June","issued":{"date-parts":[["2020"]]},"page":"102192","publisher":"Elsevier","title":"The use of digital technologies by small and medium enterprises during COVID-19 : Implications for theory and practice","type":"article-journal"},"uris":["http://www.mendeley.com/documents/?uuid=57b9b3ba-88ac-487e-bace-c6926eac1b92"]}],"mendeley":{"formattedCitation":"(Papadopoulos, Baltas, &amp; Elisavet, 2020)","manualFormatting":"Papadopoulos, Baltas, &amp; Elisavet (2020)","plainTextFormattedCitation":"(Papadopoulos, Baltas, &amp; Elisavet, 2020)","previouslyFormattedCitation":"(Papadopoulos, Baltas, &amp; Elisavet, 2020)"},"properties":{"noteIndex":0},"schema":"https://github.com/citation-style-language/schema/raw/master/csl-citation.json"}</w:instrText>
      </w:r>
      <w:r>
        <w:rPr>
          <w:rFonts w:asciiTheme="majorHAnsi" w:hAnsiTheme="majorHAnsi" w:cstheme="majorHAnsi"/>
        </w:rPr>
        <w:fldChar w:fldCharType="separate"/>
      </w:r>
      <w:r>
        <w:rPr>
          <w:rFonts w:asciiTheme="majorHAnsi" w:hAnsiTheme="majorHAnsi" w:cstheme="majorHAnsi"/>
        </w:rPr>
        <w:t>Papadopoulos, Baltas, &amp; Elisavet (2020)</w:t>
      </w:r>
      <w:r>
        <w:rPr>
          <w:rFonts w:asciiTheme="majorHAnsi" w:hAnsiTheme="majorHAnsi" w:cstheme="majorHAnsi"/>
        </w:rPr>
        <w:fldChar w:fldCharType="end"/>
      </w:r>
      <w:r>
        <w:rPr>
          <w:rFonts w:asciiTheme="majorHAnsi" w:hAnsiTheme="majorHAnsi" w:cstheme="majorHAnsi"/>
        </w:rPr>
        <w:t xml:space="preserve">, discussed the use of digital technology by small and </w:t>
      </w:r>
      <w:r>
        <w:rPr>
          <w:rFonts w:asciiTheme="majorHAnsi" w:hAnsiTheme="majorHAnsi" w:cstheme="majorHAnsi"/>
        </w:rPr>
        <w:lastRenderedPageBreak/>
        <w:t xml:space="preserve">medium-sized businesses during Covid 19. The role of digital technology has an important role in improving productivity and performance in Small and Medium Enterprises (SMEs). The benefits of digital technology will secure business continuity during extreme disruptions and shocks to the global community. </w:t>
      </w:r>
    </w:p>
    <w:p w14:paraId="5EC18910" w14:textId="77777777" w:rsidR="003640D6" w:rsidRDefault="00000000">
      <w:pPr>
        <w:autoSpaceDE w:val="0"/>
        <w:autoSpaceDN w:val="0"/>
        <w:adjustRightInd w:val="0"/>
        <w:spacing w:after="0" w:line="240" w:lineRule="auto"/>
        <w:ind w:firstLine="426"/>
        <w:jc w:val="both"/>
        <w:rPr>
          <w:rFonts w:asciiTheme="majorHAnsi" w:hAnsiTheme="majorHAnsi" w:cstheme="majorHAnsi"/>
        </w:rPr>
      </w:pPr>
      <w:r>
        <w:rPr>
          <w:rFonts w:asciiTheme="majorHAnsi" w:hAnsiTheme="majorHAnsi" w:cstheme="majorHAnsi"/>
        </w:rPr>
        <w:t xml:space="preserve">Other research conducted by </w:t>
      </w:r>
      <w:r>
        <w:rPr>
          <w:rFonts w:asciiTheme="majorHAnsi" w:hAnsiTheme="majorHAnsi" w:cstheme="majorHAnsi"/>
        </w:rPr>
        <w:fldChar w:fldCharType="begin" w:fldLock="1"/>
      </w:r>
      <w:r>
        <w:rPr>
          <w:rFonts w:asciiTheme="majorHAnsi" w:hAnsiTheme="majorHAnsi" w:cstheme="majorHAnsi"/>
        </w:rPr>
        <w:instrText xml:space="preserve">ADDIN CSL_CITATION {"citationItems":[{"id":"ITEM-1","itemData":{"abstract":"This note provides new evidence on how small business owners have been impacted by COVID-19, and how these effects have evolved since the passage of the CARES Act. As part of a broader and ongoing project, we collected survey data from more than 8,000 small business owners in the U.S. from March 28th, one day after the CARES Act was passed, through April 20th. The data include information on firm size, layoffs, beliefs about the future prospects of their businesses, as well as awareness of existing government relief programs. We provide three main findings. First, by the time the CARES Act was passed, surveyed small business owners were already severely impacted by COVID-19-related disruptions: 60% had already laid off at least one worker. Second, business owners’ expectations about the future are negative and have deteriorated throughout our study period, with 37% of respondents in the first week reporting that they did not expect to recover within 2 years, growing to 46% by the last week. Third, the smallest businesses had the least awareness of government assistance programs, the slowest growth in awareness after the passage of the CARES Act, and never caught up with larger businesses. The last finding indicates that small businesses may have missed out on initial Paycheck Protection Program funds because of low baseline awareness and differential access to information relative to larger firms. </w:instrText>
      </w:r>
      <w:r>
        <w:rPr>
          <w:rFonts w:ascii="Cambria Math" w:hAnsi="Cambria Math" w:cs="Cambria Math"/>
        </w:rPr>
        <w:instrText>∗</w:instrText>
      </w:r>
      <w:r>
        <w:rPr>
          <w:rFonts w:asciiTheme="majorHAnsi" w:hAnsiTheme="majorHAnsi" w:cstheme="majorHAnsi"/>
        </w:rPr>
        <w:instrText>Humphries:","author":[{"dropping-particle":"","family":"Humphries","given":"John Eric","non-dropping-particle":"","parse-names":false,"suffix":""},{"dropping-particle":"","family":"Neilson","given":"Christopher","non-dropping-particle":"","parse-names":false,"suffix":""},{"dropping-particle":"","family":"Ulyssea","given":"Gabriel","non-dropping-particle":"","parse-names":false,"suffix":""},{"dropping-particle":"","family":"Haven","given":"New","non-dropping-particle":"","parse-names":false,"suffix":""},{"dropping-particle":"","family":"Humphries","given":"John Eric","non-dropping-particle":"","parse-names":false,"suffix":""},{"dropping-particle":"","family":"Neilson","given":"Christopher","non-dropping-particle":"","parse-names":false,"suffix":""}],"id":"ITEM-1","issue":"2230","issued":{"date-parts":[["2020"]]},"number-of-pages":"1 - 26","title":"The evolving impacts of COVID-19 on small businesses since the CARES Act","type":"report"},"uris":["http://www.mendeley.com/documents/?uuid=8790a451-ed03-4d0d-810c-f9bda7ff18f8"]}],"mendeley":{"formattedCitation":"(Humphries et al., 2020)","manualFormatting":"Humphries et al., (2020)","plainTextFormattedCitation":"(Humphries et al., 2020)","previouslyFormattedCitation":"(Humphries et al., 2020)"},"properties":{"noteIndex":0},"schema":"https://github.com/citation-style-language/schema/raw/master/csl-citation.json"}</w:instrText>
      </w:r>
      <w:r>
        <w:rPr>
          <w:rFonts w:asciiTheme="majorHAnsi" w:hAnsiTheme="majorHAnsi" w:cstheme="majorHAnsi"/>
        </w:rPr>
        <w:fldChar w:fldCharType="separate"/>
      </w:r>
      <w:r>
        <w:rPr>
          <w:rFonts w:asciiTheme="majorHAnsi" w:hAnsiTheme="majorHAnsi" w:cstheme="majorHAnsi"/>
        </w:rPr>
        <w:t>Humphries et al., (2020)</w:t>
      </w:r>
      <w:r>
        <w:rPr>
          <w:rFonts w:asciiTheme="majorHAnsi" w:hAnsiTheme="majorHAnsi" w:cstheme="majorHAnsi"/>
        </w:rPr>
        <w:fldChar w:fldCharType="end"/>
      </w:r>
      <w:r>
        <w:rPr>
          <w:rFonts w:asciiTheme="majorHAnsi" w:hAnsiTheme="majorHAnsi" w:cstheme="majorHAnsi"/>
        </w:rPr>
        <w:t>, about new evidence of how small business owners are affected by COVID-19, and how these effects have evolved since the restrictions took effect. Found a few things: 1) at the time of the restrictions, small business owners surveyed were already severely affected by COVID-19-related disruptions, and most business owners had laid off at least one worker; 2) negatip expectations from the owner about the period of expiration of the pandemic period because it is difficult to predict; 3) the smallest businesses have the lowest awareness of government assistance programs, the slowest growth of awareness after the authorization of restrictions by the government; and 4) small businesses have lost initial funding of the Salary Protection Program due to low basic awareness and different access to information towards larger companies.</w:t>
      </w:r>
    </w:p>
    <w:p w14:paraId="41B40B3F" w14:textId="77777777" w:rsidR="003640D6" w:rsidRDefault="00000000">
      <w:pPr>
        <w:autoSpaceDE w:val="0"/>
        <w:autoSpaceDN w:val="0"/>
        <w:adjustRightInd w:val="0"/>
        <w:spacing w:after="0" w:line="240" w:lineRule="auto"/>
        <w:ind w:firstLine="426"/>
        <w:jc w:val="both"/>
        <w:rPr>
          <w:rFonts w:asciiTheme="majorHAnsi" w:hAnsiTheme="majorHAnsi" w:cstheme="majorHAnsi"/>
        </w:rPr>
      </w:pPr>
      <w:r>
        <w:rPr>
          <w:rFonts w:asciiTheme="majorHAnsi" w:hAnsiTheme="majorHAnsi" w:cstheme="majorHAnsi"/>
        </w:rPr>
        <w:fldChar w:fldCharType="begin" w:fldLock="1"/>
      </w:r>
      <w:r>
        <w:rPr>
          <w:rFonts w:asciiTheme="majorHAnsi" w:hAnsiTheme="majorHAnsi" w:cstheme="majorHAnsi"/>
        </w:rPr>
        <w:instrText>ADDIN CSL_CITATION {"citationItems":[{"id":"ITEM-1","itemData":{"abstract":"Social distancing restrictions and health- and economic-driven demand shifts from COVID-19 are expected to shutter many small businesses and entrepreneurial ventures, but there is very little early evidence on impacts. This paper provides the first analysis of impacts of the pandemic on the number of active small businesses in the United States using nationally representative data from the April 2020 CPS – the first month fully capturing early effects. The number of active business owners in the United States plummeted by 3.3 million or 22 percent over the crucial two-month window from February to April 2020. The drop in active business owners was the largest on record, and losses to business activity were felt across nearly all industries. African- American businesses were hit especially hard experiencing a 41 percent drop in business activity. Latinx business owner activity fell by 32 percent, and Asian business owner activity dropped by 26 percent. Simulations indicate that industry compositions partly placed these groups at a higher risk of business activity losses. Immigrant business owners experienced substantial losses in business activity of 36 percent. Female business owners were also disproportionately affected (25 percent drop in business activity). Continuing the analysis in May and June, the number of active business owners remained low – down by 15 percent and 8 percent, respectively. The continued losses in May and June, and partial rebounds from April were felt across all demographic groups and most industries. These findings of early-stage losses to small business activity have important implications for policy, income losses, and future economic inequality.","author":[{"dropping-particle":"","family":"Fairlie","given":"Robert W","non-dropping-particle":"","parse-names":false,"suffix":""}],"container-title":"NBR Working Paper Series","id":"ITEM-1","issue":"1","issued":{"date-parts":[["2020"]]},"page":"1 - 28","title":"THE IMPACT OF COVID-19 ON SMALL BUSINESS OWNERS: THE FIRST THREE MONTHS AFTER SOCIAL-DISTANCING RESTRICTIONS","type":"article-journal","volume":"27462"},"uris":["http://www.mendeley.com/documents/?uuid=6acb573c-8567-4171-bc92-82a2974edd6f"]}],"mendeley":{"formattedCitation":"(Fairlie, 2020)","manualFormatting":"Fairlie (2020)","plainTextFormattedCitation":"(Fairlie, 2020)","previouslyFormattedCitation":"(Fairlie, 2020)"},"properties":{"noteIndex":0},"schema":"https://github.com/citation-style-language/schema/raw/master/csl-citation.json"}</w:instrText>
      </w:r>
      <w:r>
        <w:rPr>
          <w:rFonts w:asciiTheme="majorHAnsi" w:hAnsiTheme="majorHAnsi" w:cstheme="majorHAnsi"/>
        </w:rPr>
        <w:fldChar w:fldCharType="separate"/>
      </w:r>
      <w:r>
        <w:rPr>
          <w:rFonts w:asciiTheme="majorHAnsi" w:hAnsiTheme="majorHAnsi" w:cstheme="majorHAnsi"/>
        </w:rPr>
        <w:t>Fairlie (2020)</w:t>
      </w:r>
      <w:r>
        <w:rPr>
          <w:rFonts w:asciiTheme="majorHAnsi" w:hAnsiTheme="majorHAnsi" w:cstheme="majorHAnsi"/>
        </w:rPr>
        <w:fldChar w:fldCharType="end"/>
      </w:r>
      <w:r>
        <w:rPr>
          <w:rFonts w:asciiTheme="majorHAnsi" w:hAnsiTheme="majorHAnsi" w:cstheme="majorHAnsi"/>
        </w:rPr>
        <w:t xml:space="preserve"> in his research on small business owners after the first three months of the enactment of social restrictions in Massachuset, found that most small businesses temporarily shut down their businesses and insanized considerable losses in their business activities. If left behind will have a permanent impact on small businesses and will affect macroeconomic growth. </w:t>
      </w:r>
      <w:commentRangeEnd w:id="5"/>
      <w:r w:rsidR="00D229A4">
        <w:rPr>
          <w:rStyle w:val="CommentReference"/>
        </w:rPr>
        <w:commentReference w:id="5"/>
      </w:r>
    </w:p>
    <w:p w14:paraId="332040F6" w14:textId="77777777" w:rsidR="003640D6" w:rsidRDefault="00000000">
      <w:pPr>
        <w:autoSpaceDE w:val="0"/>
        <w:autoSpaceDN w:val="0"/>
        <w:adjustRightInd w:val="0"/>
        <w:spacing w:after="0" w:line="240" w:lineRule="auto"/>
        <w:ind w:firstLine="426"/>
        <w:jc w:val="both"/>
        <w:rPr>
          <w:rFonts w:asciiTheme="majorHAnsi" w:hAnsiTheme="majorHAnsi" w:cstheme="majorHAnsi"/>
        </w:rPr>
      </w:pPr>
      <w:r>
        <w:rPr>
          <w:rFonts w:asciiTheme="majorHAnsi" w:hAnsiTheme="majorHAnsi" w:cstheme="majorHAnsi"/>
        </w:rPr>
        <w:t xml:space="preserve">On the other hand </w:t>
      </w:r>
      <w:r>
        <w:rPr>
          <w:rFonts w:asciiTheme="majorHAnsi" w:hAnsiTheme="majorHAnsi" w:cstheme="majorHAnsi"/>
        </w:rPr>
        <w:fldChar w:fldCharType="begin" w:fldLock="1"/>
      </w:r>
      <w:r>
        <w:rPr>
          <w:rFonts w:asciiTheme="majorHAnsi" w:hAnsiTheme="majorHAnsi" w:cstheme="majorHAnsi"/>
        </w:rPr>
        <w:instrText>ADDIN CSL_CITATION {"citationItems":[{"id":"ITEM-1","itemData":{"abstract":"Assessing the economic impact of the COVID-19 pandemic is essential for policymakers, but challenging because the crisis has unfolded with extreme speed. We identify three indicators – stock market volatility, newspaper-based economic uncertainty, and subjective uncertainty in business expectation surveys – that provide real-time forward-looking uncertainty measures. We use these indicators to document and quantify the enormous increase in economic uncertainty in the past several weeks. We also illustrate how these forward-looking measures can be used to assess the macroeconomic impact of the COVID-19 crisis. Specifically, we feed COVID-induced first-moment and uncertainty shocks into an estimated model of disaster effects developed by Baker, Bloom and Terry (2020). Our illustrative exercise implies a year-on-year contraction in U.S. real GDP of nearly 11 percent as of 2020 Q4, with a 90 percent confidence interval extending to a nearly 20 percent contraction. The exercise says that about half of the forecasted output contraction reflects a negative effect of COVID-induced uncertainty. Scott","author":[{"dropping-particle":"","family":"Baker","given":"Scott R","non-dropping-particle":"","parse-names":false,"suffix":""},{"dropping-particle":"","family":"Davis","given":"Steven J","non-dropping-particle":"","parse-names":false,"suffix":""},{"dropping-particle":"","family":"Terry","given":"Stephen J","non-dropping-particle":"","parse-names":false,"suffix":""},{"dropping-particle":"","family":"Bloom","given":"Nicholas","non-dropping-particle":"","parse-names":false,"suffix":""}],"id":"ITEM-1","issued":{"date-parts":[["2020"]]},"number-of-pages":"1 - 16","title":"COVID-INDUCED ECONOMIC UNCERTAINTY","type":"report"},"uris":["http://www.mendeley.com/documents/?uuid=76de0529-c32f-4d0e-b6ee-633102070fe9"]}],"mendeley":{"formattedCitation":"(S. R. Baker, Davis, Terry, &amp; Bloom, 2020)","manualFormatting":"S. R. Baker, Davis, Terry, &amp; Bloom (2020)","plainTextFormattedCitation":"(S. R. Baker, Davis, Terry, &amp; Bloom, 2020)","previouslyFormattedCitation":"(S. R. Baker, Davis, Terry, &amp; Bloom, 2020)"},"properties":{"noteIndex":0},"schema":"https://github.com/citation-style-language/schema/raw/master/csl-citation.json"}</w:instrText>
      </w:r>
      <w:r>
        <w:rPr>
          <w:rFonts w:asciiTheme="majorHAnsi" w:hAnsiTheme="majorHAnsi" w:cstheme="majorHAnsi"/>
        </w:rPr>
        <w:fldChar w:fldCharType="separate"/>
      </w:r>
      <w:r>
        <w:rPr>
          <w:rFonts w:asciiTheme="majorHAnsi" w:hAnsiTheme="majorHAnsi" w:cstheme="majorHAnsi"/>
        </w:rPr>
        <w:t>S. R. Baker, Davis, Terry, &amp; Bloom (2020)</w:t>
      </w:r>
      <w:r>
        <w:rPr>
          <w:rFonts w:asciiTheme="majorHAnsi" w:hAnsiTheme="majorHAnsi" w:cstheme="majorHAnsi"/>
        </w:rPr>
        <w:fldChar w:fldCharType="end"/>
      </w:r>
      <w:r>
        <w:rPr>
          <w:rFonts w:asciiTheme="majorHAnsi" w:hAnsiTheme="majorHAnsi" w:cstheme="majorHAnsi"/>
        </w:rPr>
        <w:t xml:space="preserve">, in their study of economic uncertainty as a result of the Covid pandemic, it found about half of the expected output contraction reflected the negative effects of the uncertainty caused by Covid. The Covid-19 pandemic has created a huge shock of uncertainty, even greater than the financial crisis of 2008-09 and more akin to the increased uncertainty during the Great Depression of 1929-1933. </w:t>
      </w:r>
    </w:p>
    <w:commentRangeStart w:id="6"/>
    <w:p w14:paraId="7768E55F" w14:textId="77777777" w:rsidR="003640D6" w:rsidRDefault="00000000">
      <w:pPr>
        <w:autoSpaceDE w:val="0"/>
        <w:autoSpaceDN w:val="0"/>
        <w:adjustRightInd w:val="0"/>
        <w:spacing w:after="0" w:line="240" w:lineRule="auto"/>
        <w:ind w:firstLine="426"/>
        <w:jc w:val="both"/>
        <w:rPr>
          <w:rFonts w:asciiTheme="majorHAnsi" w:hAnsiTheme="majorHAnsi" w:cstheme="majorHAnsi"/>
          <w:lang w:val="id-ID" w:eastAsia="id-ID"/>
        </w:rPr>
      </w:pPr>
      <w:r>
        <w:rPr>
          <w:rFonts w:asciiTheme="majorHAnsi" w:hAnsiTheme="majorHAnsi" w:cstheme="majorHAnsi"/>
        </w:rPr>
        <w:fldChar w:fldCharType="begin" w:fldLock="1"/>
      </w:r>
      <w:r>
        <w:rPr>
          <w:rFonts w:asciiTheme="majorHAnsi" w:hAnsiTheme="majorHAnsi" w:cstheme="majorHAnsi"/>
        </w:rPr>
        <w:instrText>ADDIN CSL_CITATION {"citationItems":[{"id":"ITEM-1","itemData":{"abstract":"In addition to its impact on public health, COVID-19 has had a major impact on the economy. To shed light on how COVID-19 is affecting small businesses – and on the likely impact of the recent stimulus bill, we conducted a survey of more than 5,800 small businesses. Several main themes emerge from the results. First, mass layoffs and closures have already occurred. In our sample, 43 percent of businesses are temporarily closed, and businesses have – on average – reduced their employee counts by 40 percent relative to January. Second, consistent with previous literature, we find that many small businesses are financially fragile. For example, the median business has more than $10,000 in monthly expenses and less than one month of cash on hand. Third, businesses have widely varying beliefs about the likely duration of COVID related disruptions. Fourth, the majority of businesses planned to seek funding through the CARES act. However, many anticipated problems with accessing the aid, such as bureaucratic hassles and difficulties establishing eligibility. Alexander","author":[{"dropping-particle":"","family":"Bartik","given":"Alexander W","non-dropping-particle":"","parse-names":false,"suffix":""},{"dropping-particle":"","family":"Cullen","given":"Zoë B","non-dropping-particle":"","parse-names":false,"suffix":""},{"dropping-particle":"","family":"Glaeser","given":"Edward L","non-dropping-particle":"","parse-names":false,"suffix":""},{"dropping-particle":"","family":"Stanton","given":"Christopher T","non-dropping-particle":"","parse-names":false,"suffix":""},{"dropping-particle":"","family":"Bartik","given":"Alexander W","non-dropping-particle":"","parse-names":false,"suffix":""},{"dropping-particle":"","family":"Bertrand","given":"Marianne","non-dropping-particle":"","parse-names":false,"suffix":""},{"dropping-particle":"","family":"Cullen","given":"Zoë B","non-dropping-particle":"","parse-names":false,"suffix":""},{"dropping-particle":"","family":"Glaeser","given":"Edward L","non-dropping-particle":"","parse-names":false,"suffix":""},{"dropping-particle":"","family":"Luca","given":"Michael","non-dropping-particle":"","parse-names":false,"suffix":""},{"dropping-particle":"","family":"Stanton","given":"Christopher T","non-dropping-particle":"","parse-names":false,"suffix":""}],"id":"ITEM-1","issue":"1","issued":{"date-parts":[["2020"]]},"page":"1 - 35","title":"HOW ARE SMALL BUSINESSES ADJUSTING TO COVID-19? EARLY EVIDENCE FROM A SURVEY","type":"article-journal","volume":"26989"},"uris":["http://www.mendeley.com/documents/?uuid=008ba758-9811-4c14-88dc-1cefe2a9fa4e"]}],"mendeley":{"formattedCitation":"(Bartik et al., 2020)","manualFormatting":"Bartik et al., (2020)","plainTextFormattedCitation":"(Bartik et al., 2020)"},"properties":{"noteIndex":0},"schema":"https://github.com/citation-style-language/schema/raw/master/csl-citation.json"}</w:instrText>
      </w:r>
      <w:r>
        <w:rPr>
          <w:rFonts w:asciiTheme="majorHAnsi" w:hAnsiTheme="majorHAnsi" w:cstheme="majorHAnsi"/>
        </w:rPr>
        <w:fldChar w:fldCharType="separate"/>
      </w:r>
      <w:r>
        <w:rPr>
          <w:rFonts w:asciiTheme="majorHAnsi" w:hAnsiTheme="majorHAnsi" w:cstheme="majorHAnsi"/>
        </w:rPr>
        <w:t>Bartik et al., (2020)</w:t>
      </w:r>
      <w:r>
        <w:rPr>
          <w:rFonts w:asciiTheme="majorHAnsi" w:hAnsiTheme="majorHAnsi" w:cstheme="majorHAnsi"/>
        </w:rPr>
        <w:fldChar w:fldCharType="end"/>
      </w:r>
      <w:r>
        <w:rPr>
          <w:rFonts w:asciiTheme="majorHAnsi" w:hAnsiTheme="majorHAnsi" w:cstheme="majorHAnsi"/>
        </w:rPr>
        <w:t xml:space="preserve"> </w:t>
      </w:r>
      <w:r>
        <w:rPr>
          <w:rFonts w:asciiTheme="majorHAnsi" w:hAnsiTheme="majorHAnsi" w:cstheme="majorHAnsi"/>
          <w:lang w:val="id-ID" w:eastAsia="id-ID"/>
        </w:rPr>
        <w:t>in its study of how small businesses are adjusting in the Covid-19 era to 5,800 small businesses in the United States found: 1) Mass layoffs and closures have occurred. In our sample, 43 percent of businesses closed temporarily, and businesses - on average - reduced their number of employees by 40 percent compared to January; 2) many small businesses are financially vulnerable; 3) businesses have very diverse beliefs about the possible duration of Covid-related disruptions; and 4) the majority of businesses plan to seek funding through the Coronavirus Aid, Relief, and Economic Security (CARES) Act, but are still constrained by bureaucracy and difficulty meeting collateral.</w:t>
      </w:r>
      <w:commentRangeEnd w:id="6"/>
      <w:r w:rsidR="008D658C">
        <w:rPr>
          <w:rStyle w:val="CommentReference"/>
        </w:rPr>
        <w:commentReference w:id="6"/>
      </w:r>
    </w:p>
    <w:p w14:paraId="0E345CB5" w14:textId="77777777" w:rsidR="003640D6" w:rsidRDefault="003640D6">
      <w:pPr>
        <w:autoSpaceDE w:val="0"/>
        <w:autoSpaceDN w:val="0"/>
        <w:adjustRightInd w:val="0"/>
        <w:spacing w:after="0" w:line="240" w:lineRule="auto"/>
        <w:ind w:firstLine="426"/>
        <w:jc w:val="both"/>
        <w:rPr>
          <w:rFonts w:asciiTheme="majorHAnsi" w:hAnsiTheme="majorHAnsi" w:cstheme="majorHAnsi"/>
        </w:rPr>
      </w:pPr>
    </w:p>
    <w:p w14:paraId="09D55483" w14:textId="77777777" w:rsidR="003640D6" w:rsidRDefault="00000000">
      <w:pPr>
        <w:spacing w:after="0" w:line="360" w:lineRule="auto"/>
        <w:jc w:val="both"/>
        <w:rPr>
          <w:b/>
        </w:rPr>
      </w:pPr>
      <w:commentRangeStart w:id="7"/>
      <w:r>
        <w:rPr>
          <w:b/>
        </w:rPr>
        <w:t xml:space="preserve">2. RESEARCH METHODS </w:t>
      </w:r>
      <w:commentRangeEnd w:id="7"/>
      <w:r w:rsidR="00F30BE2">
        <w:rPr>
          <w:rStyle w:val="CommentReference"/>
        </w:rPr>
        <w:commentReference w:id="7"/>
      </w:r>
    </w:p>
    <w:p w14:paraId="5817E760" w14:textId="77777777" w:rsidR="003640D6" w:rsidRDefault="00000000">
      <w:pPr>
        <w:spacing w:after="0" w:line="240" w:lineRule="auto"/>
        <w:ind w:firstLine="425"/>
        <w:contextualSpacing/>
        <w:jc w:val="both"/>
        <w:rPr>
          <w:rStyle w:val="A0"/>
        </w:rPr>
      </w:pPr>
      <w:r>
        <w:rPr>
          <w:rStyle w:val="A0"/>
        </w:rPr>
        <w:t xml:space="preserve">Research focused on the impact of the Covid 19 pandemic on the performance of small industries in South Sumatra is reviewed from economies of scale. Next is to formulate a simple strategy of survival for small industries in the era of the Covid 19 pandemic. </w:t>
      </w:r>
    </w:p>
    <w:p w14:paraId="28143A26" w14:textId="77777777" w:rsidR="003640D6" w:rsidRDefault="00000000">
      <w:pPr>
        <w:spacing w:after="0" w:line="240" w:lineRule="auto"/>
        <w:ind w:firstLine="425"/>
        <w:jc w:val="both"/>
        <w:rPr>
          <w:rStyle w:val="A0"/>
        </w:rPr>
      </w:pPr>
      <w:r>
        <w:rPr>
          <w:rStyle w:val="A0"/>
        </w:rPr>
        <w:t xml:space="preserve">The data in this study consists of secondary data and primary data. Secondary data in the form of data on population and total workforce in South Sumatra, the number of workers absorbed by small industries by district / city and province, per capita income, and output generated by small industries in the district / city. </w:t>
      </w:r>
    </w:p>
    <w:p w14:paraId="2B078957" w14:textId="77777777" w:rsidR="003640D6" w:rsidRDefault="00000000">
      <w:pPr>
        <w:spacing w:after="0" w:line="240" w:lineRule="auto"/>
        <w:ind w:firstLine="425"/>
        <w:jc w:val="both"/>
        <w:rPr>
          <w:rStyle w:val="A0"/>
        </w:rPr>
      </w:pPr>
      <w:r>
        <w:rPr>
          <w:rStyle w:val="A0"/>
        </w:rPr>
        <w:t>The data source was obtained from the Central Bureau of Statistics of South Sumatra, Bank Indonesia, and the Office of Industry and Trade in South Sumatra. While the primary data is obtained by disseminating questionnaires compiled in the form of online questionnaires (google form) distributed to small businesses based on the identity information of respondents obtained from the data base of small business actors obtained from the Office of Industry and Trade of South Sumatra which includes data on the amount of labor, wages, output, raw material costs and marketing costs.</w:t>
      </w:r>
    </w:p>
    <w:p w14:paraId="5B2C97A9" w14:textId="77777777" w:rsidR="003640D6" w:rsidRDefault="00000000">
      <w:pPr>
        <w:spacing w:after="0" w:line="240" w:lineRule="auto"/>
        <w:ind w:firstLine="425"/>
        <w:jc w:val="both"/>
      </w:pPr>
      <w:r>
        <w:t xml:space="preserve">The population in this study is a small industry group that exists in districts / cities in South Sumatra. The determination of samples is done by purposive sampling by first selecting the dominant industry group and is found in all districts / cities in South Sumatra. </w:t>
      </w:r>
    </w:p>
    <w:p w14:paraId="58C30C0E" w14:textId="77777777" w:rsidR="003640D6" w:rsidRDefault="00000000">
      <w:pPr>
        <w:spacing w:after="0" w:line="240" w:lineRule="auto"/>
        <w:ind w:firstLine="425"/>
        <w:jc w:val="both"/>
      </w:pPr>
      <w:r>
        <w:t>Small industries are grouped into two, namely small food industry and small non-food industry, because these two industry groups dominate in South Sumatra. The sample in the study was 60, with a breakdown of 40 food industry groups and 20 small non-food industry groups.</w:t>
      </w:r>
    </w:p>
    <w:p w14:paraId="4DB250DF" w14:textId="77777777" w:rsidR="003640D6" w:rsidRDefault="00000000">
      <w:pPr>
        <w:spacing w:after="0" w:line="240" w:lineRule="auto"/>
        <w:ind w:firstLine="425"/>
        <w:jc w:val="both"/>
      </w:pPr>
      <w:r>
        <w:lastRenderedPageBreak/>
        <w:t xml:space="preserve">Analysis techniques use qualitative and quantitative descriptive approaches. Qualitative descriptive analysis to provide a general overview of the small industrial conditions in South Sumatra and the characteristics of the variables associated in the study. The variable is economies of scale, in relation to the effects of the Covid 19 pandemic. According to </w:t>
      </w:r>
      <w:r>
        <w:fldChar w:fldCharType="begin" w:fldLock="1"/>
      </w:r>
      <w:r>
        <w:instrText>ADDIN CSL_CITATION {"citationItems":[{"id":"ITEM-1","itemData":{"DOI":"10.2307/2946643","ISSN":"0033-5533","abstract":"This paper presents evidence on the long-run trends in U. S. regional specializa- tion and localization and examines which model of regional specialization is most consistent with the data. Regional specialization in the United States rose substan- tially between 1860 and the turn of the twentieth century, flattened out during the interwar years, and then fell substantially and continuously since the 1930s. The analysis of the long-run trends in U. S. regional specialization and localization supports explanations based on production scale economies and the Heckscher- Ohlin model but is inconsistent with explanations based on external economies. The","author":[{"dropping-particle":"","family":"Kim","given":"Sukkoo","non-dropping-particle":"","parse-names":false,"suffix":""}],"container-title":"The Quarterly Journal of Economics","id":"ITEM-1","issue":"4","issued":{"date-parts":[["1995"]]},"page":"881-908","title":"Expansion of Markets and the Geographic Distribution of Economic Activities: The Trends in U. S. Regional Manufacturing Structure, 1860-1987","type":"article-journal","volume":"110"},"uris":["http://www.mendeley.com/documents/?uuid=854b0674-3d3f-4f7a-beb3-f8f858aa957a"]}],"mendeley":{"formattedCitation":"(Kim, 1995)","manualFormatting":"Kim (1995)","plainTextFormattedCitation":"(Kim, 1995)","previouslyFormattedCitation":"(Kim, 1995)"},"properties":{"noteIndex":0},"schema":"https://github.com/citation-style-language/schema/raw/master/csl-citation.json"}</w:instrText>
      </w:r>
      <w:r>
        <w:fldChar w:fldCharType="separate"/>
      </w:r>
      <w:r>
        <w:t>Kim (1995)</w:t>
      </w:r>
      <w:r>
        <w:fldChar w:fldCharType="end"/>
      </w:r>
      <w:r>
        <w:t xml:space="preserve"> and </w:t>
      </w:r>
      <w:r>
        <w:fldChar w:fldCharType="begin" w:fldLock="1"/>
      </w:r>
      <w:r>
        <w:instrText>ADDIN CSL_CITATION {"citationItems":[{"id":"ITEM-1","itemData":{"author":[{"dropping-particle":"","family":"Kuncoro","given":"Mudrajad","non-dropping-particle":"","parse-names":false,"suffix":""}],"container-title":"UPP AMP YKPN Yokyakarta","edition":"1","id":"ITEM-1","issued":{"date-parts":[["2012"]]},"title":"Ekonomika Aglomerasi: Dinamika dan Dimensi Spasial","type":"book"},"uris":["http://www.mendeley.com/documents/?uuid=90bfb2a6-aa1e-4c52-8955-6b7741c427cd"]}],"mendeley":{"formattedCitation":"(Kuncoro, 2012)","manualFormatting":"Kuncoro (2012)","plainTextFormattedCitation":"(Kuncoro, 2012)","previouslyFormattedCitation":"(Kuncoro, 2012)"},"properties":{"noteIndex":0},"schema":"https://github.com/citation-style-language/schema/raw/master/csl-citation.json"}</w:instrText>
      </w:r>
      <w:r>
        <w:fldChar w:fldCharType="separate"/>
      </w:r>
      <w:r>
        <w:t>Kuncoro (2012)</w:t>
      </w:r>
      <w:r>
        <w:fldChar w:fldCharType="end"/>
      </w:r>
      <w:r>
        <w:t xml:space="preserve">, the larger the economies of scale, the better the performance of the small industry. Moreover according to </w:t>
      </w:r>
      <w:r>
        <w:fldChar w:fldCharType="begin" w:fldLock="1"/>
      </w:r>
      <w:r>
        <w:instrText>ADDIN CSL_CITATION {"citationItems":[{"id":"ITEM-1","itemData":{"DOI":"10.1016/j.regsciurbeco.2011.07.003","ISSN":"01660462","abstract":"This paper, by using annual surveys of manufacturing firms from 1998 to 2005 in China, first documents a positive correlation between industrial agglomeration and firm size, which is previously found in developed economies. Next, by using the instrumental variable estimations, we identify that industrial agglomeration has a positive and statistically significant causal impact on firm size. Finally, we find that firms are more likely to become larger by locating with a number of larger firms than with a larger number of firms. © 2011 Elsevier B.V.","author":[{"dropping-particle":"","family":"Li","given":"Dongya","non-dropping-particle":"","parse-names":false,"suffix":""},{"dropping-particle":"","family":"Lu","given":"Yi","non-dropping-particle":"","parse-names":false,"suffix":""},{"dropping-particle":"","family":"Wu","given":"Mingqin","non-dropping-particle":"","parse-names":false,"suffix":""}],"container-title":"Regional Science and Urban Economics","id":"ITEM-1","issue":"1-2","issued":{"date-parts":[["2012"]]},"page":"135-143","title":"Industrial Agglomeration and Firm Size: Evidence from China","type":"article-journal","volume":"42"},"uris":["http://www.mendeley.com/documents/?uuid=7130a87c-0ed0-43b0-b94d-f479903a80d7"]}],"mendeley":{"formattedCitation":"(Li et al., 2012)","manualFormatting":"Li et al (2012)","plainTextFormattedCitation":"(Li et al., 2012)","previouslyFormattedCitation":"(Li et al., 2012)"},"properties":{"noteIndex":0},"schema":"https://github.com/citation-style-language/schema/raw/master/csl-citation.json"}</w:instrText>
      </w:r>
      <w:r>
        <w:fldChar w:fldCharType="separate"/>
      </w:r>
      <w:r>
        <w:t xml:space="preserve">Li </w:t>
      </w:r>
      <w:r>
        <w:rPr>
          <w:i/>
        </w:rPr>
        <w:t>et al</w:t>
      </w:r>
      <w:r>
        <w:t xml:space="preserve"> (2012)</w:t>
      </w:r>
      <w:r>
        <w:fldChar w:fldCharType="end"/>
      </w:r>
      <w:r>
        <w:t xml:space="preserve">, efficiency is the right measure to describe the economies of scale of a small industry. While according to Humphries et al., (2020), the Covid-19 pandemic has had a negative effect on the performance of small industries, as a result of declining economies of scale of small industries. </w:t>
      </w:r>
    </w:p>
    <w:p w14:paraId="4CD56868" w14:textId="77777777" w:rsidR="003640D6" w:rsidRDefault="003640D6">
      <w:pPr>
        <w:spacing w:after="0" w:line="240" w:lineRule="auto"/>
        <w:ind w:firstLine="425"/>
        <w:jc w:val="both"/>
      </w:pPr>
    </w:p>
    <w:p w14:paraId="32133F1D" w14:textId="77777777" w:rsidR="003640D6" w:rsidRDefault="00000000">
      <w:pPr>
        <w:spacing w:after="0" w:line="360" w:lineRule="auto"/>
        <w:outlineLvl w:val="0"/>
        <w:rPr>
          <w:b/>
        </w:rPr>
      </w:pPr>
      <w:commentRangeStart w:id="8"/>
      <w:r>
        <w:rPr>
          <w:b/>
        </w:rPr>
        <w:t xml:space="preserve">3. RESULTS AND DISCUSSION </w:t>
      </w:r>
      <w:commentRangeEnd w:id="8"/>
      <w:r w:rsidR="00F30BE2">
        <w:rPr>
          <w:rStyle w:val="CommentReference"/>
        </w:rPr>
        <w:commentReference w:id="8"/>
      </w:r>
    </w:p>
    <w:p w14:paraId="27691381" w14:textId="77777777" w:rsidR="003640D6" w:rsidRDefault="00000000">
      <w:pPr>
        <w:pStyle w:val="NoSpacing"/>
        <w:ind w:firstLine="426"/>
        <w:jc w:val="both"/>
        <w:rPr>
          <w:rFonts w:asciiTheme="majorHAnsi" w:eastAsia="Times New Roman" w:hAnsiTheme="majorHAnsi" w:cstheme="majorHAnsi"/>
          <w:sz w:val="24"/>
          <w:szCs w:val="24"/>
          <w:lang w:val="zh-CN" w:eastAsia="id-ID"/>
        </w:rPr>
      </w:pPr>
      <w:r>
        <w:rPr>
          <w:rFonts w:asciiTheme="majorHAnsi" w:eastAsia="Times New Roman" w:hAnsiTheme="majorHAnsi" w:cstheme="majorHAnsi"/>
          <w:sz w:val="24"/>
          <w:szCs w:val="24"/>
          <w:lang w:val="zh-CN" w:eastAsia="id-ID"/>
        </w:rPr>
        <w:t>Covid-19 is not only considered a health disaster, but has had a devastating derivative impact on the economy of South Sumatra. This impact spreads to all lines of business, from large businesses to small businesses. Some of the impacts felt by small industries include:</w:t>
      </w:r>
    </w:p>
    <w:p w14:paraId="051DF8C9" w14:textId="77777777" w:rsidR="003640D6" w:rsidRDefault="00000000">
      <w:pPr>
        <w:pStyle w:val="NoSpacing"/>
        <w:numPr>
          <w:ilvl w:val="0"/>
          <w:numId w:val="1"/>
        </w:numPr>
        <w:ind w:left="284" w:hanging="284"/>
        <w:jc w:val="both"/>
        <w:rPr>
          <w:rStyle w:val="a"/>
          <w:rFonts w:asciiTheme="majorHAnsi" w:eastAsia="Times New Roman" w:hAnsiTheme="majorHAnsi" w:cstheme="majorHAnsi"/>
          <w:sz w:val="24"/>
          <w:szCs w:val="24"/>
          <w:lang w:val="zh-CN" w:eastAsia="id-ID"/>
        </w:rPr>
      </w:pPr>
      <w:r>
        <w:rPr>
          <w:rStyle w:val="a"/>
          <w:rFonts w:asciiTheme="majorHAnsi" w:hAnsiTheme="majorHAnsi" w:cstheme="majorHAnsi"/>
          <w:color w:val="000000" w:themeColor="text1"/>
          <w:sz w:val="24"/>
          <w:szCs w:val="24"/>
        </w:rPr>
        <w:t>Difficulty of raw materials. Small industry players will have difficulty raw materials if the material is purchased outside the province or abroad. As we know, some provinces are implementing regional quarantines and some countries are implementing lockdowns. The Indonesian government's social distancing policy has disrupted production activities</w:t>
      </w:r>
    </w:p>
    <w:p w14:paraId="69DDDDFB" w14:textId="77777777" w:rsidR="003640D6" w:rsidRDefault="00000000">
      <w:pPr>
        <w:pStyle w:val="NoSpacing"/>
        <w:numPr>
          <w:ilvl w:val="0"/>
          <w:numId w:val="1"/>
        </w:numPr>
        <w:ind w:left="284" w:hanging="284"/>
        <w:jc w:val="both"/>
        <w:rPr>
          <w:rStyle w:val="a"/>
          <w:rFonts w:asciiTheme="majorHAnsi" w:eastAsia="Times New Roman" w:hAnsiTheme="majorHAnsi" w:cstheme="majorHAnsi"/>
          <w:sz w:val="24"/>
          <w:szCs w:val="24"/>
          <w:lang w:val="zh-CN" w:eastAsia="id-ID"/>
        </w:rPr>
      </w:pPr>
      <w:r>
        <w:rPr>
          <w:rStyle w:val="a"/>
          <w:rFonts w:asciiTheme="majorHAnsi" w:hAnsiTheme="majorHAnsi" w:cstheme="majorHAnsi"/>
          <w:color w:val="000000" w:themeColor="text1"/>
          <w:sz w:val="24"/>
          <w:szCs w:val="24"/>
        </w:rPr>
        <w:t xml:space="preserve">Production and sales declined. Small industry players experience such a drastic drop in income that they struggle to pay fees. These costs include employee salary/honor, venture capital, daily living expenses, and other needs. </w:t>
      </w:r>
    </w:p>
    <w:p w14:paraId="7F99D167" w14:textId="77777777" w:rsidR="003640D6" w:rsidRDefault="00000000">
      <w:pPr>
        <w:pStyle w:val="NoSpacing"/>
        <w:numPr>
          <w:ilvl w:val="0"/>
          <w:numId w:val="1"/>
        </w:numPr>
        <w:ind w:left="284" w:hanging="284"/>
        <w:jc w:val="both"/>
        <w:rPr>
          <w:rStyle w:val="a"/>
          <w:rFonts w:asciiTheme="majorHAnsi" w:eastAsia="Times New Roman" w:hAnsiTheme="majorHAnsi" w:cstheme="majorHAnsi"/>
          <w:sz w:val="24"/>
          <w:szCs w:val="24"/>
          <w:lang w:val="zh-CN" w:eastAsia="id-ID"/>
        </w:rPr>
      </w:pPr>
      <w:r>
        <w:rPr>
          <w:rStyle w:val="a"/>
          <w:rFonts w:asciiTheme="majorHAnsi" w:hAnsiTheme="majorHAnsi" w:cstheme="majorHAnsi"/>
          <w:color w:val="000000" w:themeColor="text1"/>
          <w:sz w:val="24"/>
          <w:szCs w:val="24"/>
        </w:rPr>
        <w:t xml:space="preserve">Inhibited distribution activity. Small industry pelau is experiencing obstacles in distributing its produce. The application of work from home, studying at home, worshipping at home and isolating themselves at home, lock down in some areas makes it difficult for small industry players to market their produce. The halt in distribution activity is certainly detrimental to small industry players. They are now confused about how to distribute products, especially for small industries that have begun to expand their market reach beyond the region. </w:t>
      </w:r>
    </w:p>
    <w:p w14:paraId="4B0359D9" w14:textId="77777777" w:rsidR="003640D6" w:rsidRDefault="00000000" w:rsidP="00D229A4">
      <w:pPr>
        <w:spacing w:before="240" w:after="120" w:line="240" w:lineRule="auto"/>
        <w:ind w:firstLine="426"/>
        <w:jc w:val="both"/>
        <w:rPr>
          <w:rStyle w:val="a"/>
          <w:rFonts w:asciiTheme="majorHAnsi" w:hAnsiTheme="majorHAnsi" w:cstheme="majorHAnsi"/>
          <w:color w:val="000000" w:themeColor="text1"/>
          <w:sz w:val="24"/>
          <w:szCs w:val="24"/>
        </w:rPr>
      </w:pPr>
      <w:r>
        <w:rPr>
          <w:rStyle w:val="a"/>
          <w:rFonts w:asciiTheme="majorHAnsi" w:hAnsiTheme="majorHAnsi" w:cstheme="majorHAnsi"/>
          <w:color w:val="000000" w:themeColor="text1"/>
          <w:sz w:val="24"/>
          <w:szCs w:val="24"/>
        </w:rPr>
        <w:t>The barriers experienced by small industrial actors as a result of rising raw material prices, declining production and choked disttrbusi have a profound effect on the inerja of the small industry. This is reflected in the decline in profits and efficiencies that are difficult to predict, which has the effect of declining the economies of scale of the small industry</w:t>
      </w:r>
    </w:p>
    <w:p w14:paraId="5A9AB65E" w14:textId="77777777" w:rsidR="003640D6" w:rsidRDefault="00000000">
      <w:pPr>
        <w:spacing w:before="240" w:after="120" w:line="240" w:lineRule="auto"/>
        <w:rPr>
          <w:rFonts w:asciiTheme="majorHAnsi" w:hAnsiTheme="majorHAnsi" w:cstheme="majorHAnsi"/>
          <w:b/>
        </w:rPr>
      </w:pPr>
      <w:commentRangeStart w:id="9"/>
      <w:r>
        <w:rPr>
          <w:rFonts w:asciiTheme="majorHAnsi" w:hAnsiTheme="majorHAnsi" w:cstheme="majorHAnsi"/>
          <w:b/>
        </w:rPr>
        <w:t xml:space="preserve">4. CONCLUSIONS </w:t>
      </w:r>
      <w:commentRangeEnd w:id="9"/>
      <w:r w:rsidR="00F30BE2">
        <w:rPr>
          <w:rStyle w:val="CommentReference"/>
        </w:rPr>
        <w:commentReference w:id="9"/>
      </w:r>
    </w:p>
    <w:p w14:paraId="7C531A7F" w14:textId="77777777" w:rsidR="003640D6" w:rsidRDefault="00000000">
      <w:pPr>
        <w:pStyle w:val="ListParagraph"/>
        <w:spacing w:line="240" w:lineRule="auto"/>
        <w:ind w:left="0" w:firstLine="425"/>
        <w:jc w:val="both"/>
        <w:rPr>
          <w:rFonts w:asciiTheme="majorHAnsi" w:eastAsiaTheme="minorHAnsi" w:hAnsiTheme="majorHAnsi" w:cstheme="majorHAnsi"/>
          <w:lang w:val="zh-CN"/>
        </w:rPr>
      </w:pPr>
      <w:r>
        <w:rPr>
          <w:rFonts w:asciiTheme="majorHAnsi" w:eastAsiaTheme="minorHAnsi" w:hAnsiTheme="majorHAnsi" w:cstheme="majorHAnsi"/>
          <w:lang w:val="zh-CN"/>
        </w:rPr>
        <w:t xml:space="preserve">The impact of the spread of Covid-19 in the small industrial sector in South Sumatra has a huge influence. One of the difficulties in raw materials, decreased production and sales and stalled distribution caused the performance of small industries in South Sumatra to be poor. </w:t>
      </w:r>
    </w:p>
    <w:p w14:paraId="1B2C7EFD" w14:textId="77777777" w:rsidR="003640D6" w:rsidRDefault="003640D6">
      <w:pPr>
        <w:spacing w:before="240" w:after="120" w:line="240" w:lineRule="auto"/>
        <w:outlineLvl w:val="0"/>
        <w:rPr>
          <w:b/>
          <w:sz w:val="20"/>
          <w:szCs w:val="20"/>
        </w:rPr>
      </w:pPr>
    </w:p>
    <w:p w14:paraId="15106556" w14:textId="77777777" w:rsidR="003640D6" w:rsidRDefault="00000000">
      <w:pPr>
        <w:spacing w:before="240" w:after="120" w:line="240" w:lineRule="auto"/>
        <w:outlineLvl w:val="0"/>
        <w:rPr>
          <w:b/>
        </w:rPr>
      </w:pPr>
      <w:commentRangeStart w:id="10"/>
      <w:r>
        <w:rPr>
          <w:b/>
        </w:rPr>
        <w:t>REFERENCES</w:t>
      </w:r>
      <w:commentRangeEnd w:id="10"/>
      <w:r w:rsidR="00F30BE2">
        <w:rPr>
          <w:rStyle w:val="CommentReference"/>
        </w:rPr>
        <w:commentReference w:id="10"/>
      </w:r>
    </w:p>
    <w:p w14:paraId="310C5B47"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Baker, S. R., Davis, S. J., Terry, S. J., &amp; Bloom, N. (2020). </w:t>
      </w:r>
      <w:r>
        <w:rPr>
          <w:rFonts w:asciiTheme="majorHAnsi" w:hAnsiTheme="majorHAnsi" w:cstheme="majorHAnsi"/>
          <w:i/>
          <w:iCs/>
        </w:rPr>
        <w:t>COVID-INDUCED ECONOMIC UNCERTAINTY</w:t>
      </w:r>
      <w:r>
        <w:rPr>
          <w:rFonts w:asciiTheme="majorHAnsi" w:hAnsiTheme="majorHAnsi" w:cstheme="majorHAnsi"/>
        </w:rPr>
        <w:t>. Retrieved from http://www.nber.org/papers/w26983%0ANATIONAL</w:t>
      </w:r>
    </w:p>
    <w:p w14:paraId="42166DC3"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Baker, T., &amp; Judge, K. (2020). </w:t>
      </w:r>
      <w:r>
        <w:rPr>
          <w:rFonts w:asciiTheme="majorHAnsi" w:hAnsiTheme="majorHAnsi" w:cstheme="majorHAnsi"/>
          <w:i/>
          <w:iCs/>
        </w:rPr>
        <w:t>How to Help Small Businesses Survive COVID-19</w:t>
      </w:r>
      <w:r>
        <w:rPr>
          <w:rFonts w:asciiTheme="majorHAnsi" w:hAnsiTheme="majorHAnsi" w:cstheme="majorHAnsi"/>
        </w:rPr>
        <w:t>. Retrieved from https://ssrn.com/abstract=3571460</w:t>
      </w:r>
    </w:p>
    <w:p w14:paraId="717DA9CE"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Balla-elliott, D., Cullen, Z. B., Glaeser, E. L., &amp; Stanton, C. T. (2020). BUSINESS REOPENING DECISIONS AND DEMAND FORECASTS DURING THE COVID-19 PANDEMIC. In </w:t>
      </w:r>
      <w:r>
        <w:rPr>
          <w:rFonts w:asciiTheme="majorHAnsi" w:hAnsiTheme="majorHAnsi" w:cstheme="majorHAnsi"/>
          <w:i/>
          <w:iCs/>
        </w:rPr>
        <w:t>NBER Working Paper Series</w:t>
      </w:r>
      <w:r>
        <w:rPr>
          <w:rFonts w:asciiTheme="majorHAnsi" w:hAnsiTheme="majorHAnsi" w:cstheme="majorHAnsi"/>
        </w:rPr>
        <w:t xml:space="preserve"> (No. 27363). Retrieved from http://www.nber.org/papers/w27362%0ANATIONAL</w:t>
      </w:r>
    </w:p>
    <w:p w14:paraId="7CE8271D"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Bartik, A. W., Cullen, Z. B., Glaeser, E. L., Stanton, C. T., Bartik, A. W., Bertrand, M., … Stanton, C. T. </w:t>
      </w:r>
      <w:r>
        <w:rPr>
          <w:rFonts w:asciiTheme="majorHAnsi" w:hAnsiTheme="majorHAnsi" w:cstheme="majorHAnsi"/>
        </w:rPr>
        <w:lastRenderedPageBreak/>
        <w:t xml:space="preserve">(2020). </w:t>
      </w:r>
      <w:r>
        <w:rPr>
          <w:rFonts w:asciiTheme="majorHAnsi" w:hAnsiTheme="majorHAnsi" w:cstheme="majorHAnsi"/>
          <w:i/>
          <w:iCs/>
        </w:rPr>
        <w:t>HOW ARE SMALL BUSINESSES ADJUSTING TO COVID-19? EARLY EVIDENCE FROM A SURVEY</w:t>
      </w:r>
      <w:r>
        <w:rPr>
          <w:rFonts w:asciiTheme="majorHAnsi" w:hAnsiTheme="majorHAnsi" w:cstheme="majorHAnsi"/>
        </w:rPr>
        <w:t xml:space="preserve">. </w:t>
      </w:r>
      <w:r>
        <w:rPr>
          <w:rFonts w:asciiTheme="majorHAnsi" w:hAnsiTheme="majorHAnsi" w:cstheme="majorHAnsi"/>
          <w:i/>
          <w:iCs/>
        </w:rPr>
        <w:t>26989</w:t>
      </w:r>
      <w:r>
        <w:rPr>
          <w:rFonts w:asciiTheme="majorHAnsi" w:hAnsiTheme="majorHAnsi" w:cstheme="majorHAnsi"/>
        </w:rPr>
        <w:t>(1), 1–35. Retrieved from http://www.nber.org/papers/w26989%0ANATIONAL</w:t>
      </w:r>
    </w:p>
    <w:p w14:paraId="7131774C"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Bureau, S. (2019). </w:t>
      </w:r>
      <w:r>
        <w:rPr>
          <w:rFonts w:asciiTheme="majorHAnsi" w:hAnsiTheme="majorHAnsi" w:cstheme="majorHAnsi"/>
          <w:i/>
          <w:iCs/>
        </w:rPr>
        <w:t>Sumatera Selatan Province in Figures 2019</w:t>
      </w:r>
      <w:r>
        <w:rPr>
          <w:rFonts w:asciiTheme="majorHAnsi" w:hAnsiTheme="majorHAnsi" w:cstheme="majorHAnsi"/>
        </w:rPr>
        <w:t>. Retrieved from http://sumsel.bps.go.id</w:t>
      </w:r>
    </w:p>
    <w:p w14:paraId="11BA90E1"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Crick, J. M., &amp; Crick, D. (2020). Coopetition and COVID-19 : Collaborative business-to-business marketing strategies in a pandemic crisis. </w:t>
      </w:r>
      <w:r>
        <w:rPr>
          <w:rFonts w:asciiTheme="majorHAnsi" w:hAnsiTheme="majorHAnsi" w:cstheme="majorHAnsi"/>
          <w:i/>
          <w:iCs/>
        </w:rPr>
        <w:t>Industrial Marketing Management</w:t>
      </w:r>
      <w:r>
        <w:rPr>
          <w:rFonts w:asciiTheme="majorHAnsi" w:hAnsiTheme="majorHAnsi" w:cstheme="majorHAnsi"/>
        </w:rPr>
        <w:t xml:space="preserve">, </w:t>
      </w:r>
      <w:r>
        <w:rPr>
          <w:rFonts w:asciiTheme="majorHAnsi" w:hAnsiTheme="majorHAnsi" w:cstheme="majorHAnsi"/>
          <w:i/>
          <w:iCs/>
        </w:rPr>
        <w:t>88</w:t>
      </w:r>
      <w:r>
        <w:rPr>
          <w:rFonts w:asciiTheme="majorHAnsi" w:hAnsiTheme="majorHAnsi" w:cstheme="majorHAnsi"/>
        </w:rPr>
        <w:t>(May), 206–213. https://doi.org/10.1016/j.indmarman.2020.05.016</w:t>
      </w:r>
    </w:p>
    <w:p w14:paraId="3D54BB5D"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Fairlie, R. W. (2020). THE IMPACT OF COVID-19 ON SMALL BUSINESS OWNERS: THE FIRST THREE MONTHS AFTER SOCIAL-DISTANCING RESTRICTIONS. </w:t>
      </w:r>
      <w:r>
        <w:rPr>
          <w:rFonts w:asciiTheme="majorHAnsi" w:hAnsiTheme="majorHAnsi" w:cstheme="majorHAnsi"/>
          <w:i/>
          <w:iCs/>
        </w:rPr>
        <w:t>NBR Working Paper Series</w:t>
      </w:r>
      <w:r>
        <w:rPr>
          <w:rFonts w:asciiTheme="majorHAnsi" w:hAnsiTheme="majorHAnsi" w:cstheme="majorHAnsi"/>
        </w:rPr>
        <w:t xml:space="preserve">, </w:t>
      </w:r>
      <w:r>
        <w:rPr>
          <w:rFonts w:asciiTheme="majorHAnsi" w:hAnsiTheme="majorHAnsi" w:cstheme="majorHAnsi"/>
          <w:i/>
          <w:iCs/>
        </w:rPr>
        <w:t>27462</w:t>
      </w:r>
      <w:r>
        <w:rPr>
          <w:rFonts w:asciiTheme="majorHAnsi" w:hAnsiTheme="majorHAnsi" w:cstheme="majorHAnsi"/>
        </w:rPr>
        <w:t>(1), 1–28. Retrieved from http://www.nber.org/papers/w27462</w:t>
      </w:r>
    </w:p>
    <w:p w14:paraId="76A4BE64"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Haryadi, D., Chotim, E. E., &amp; Maspiyati, M. (2016). </w:t>
      </w:r>
      <w:r>
        <w:rPr>
          <w:rFonts w:asciiTheme="majorHAnsi" w:hAnsiTheme="majorHAnsi" w:cstheme="majorHAnsi"/>
          <w:i/>
          <w:iCs/>
        </w:rPr>
        <w:t>Tahap Perkembangan Usaha Kecil: Dinamika dan Peta Potensi Pertumbuhan</w:t>
      </w:r>
      <w:r>
        <w:rPr>
          <w:rFonts w:asciiTheme="majorHAnsi" w:hAnsiTheme="majorHAnsi" w:cstheme="majorHAnsi"/>
        </w:rPr>
        <w:t xml:space="preserve"> (I). Bandung: AKATIGA.</w:t>
      </w:r>
    </w:p>
    <w:p w14:paraId="2928F9D7"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Humphries, J. E., Neilson, C., Ulyssea, G., Haven, N., Humphries, J. E., &amp; Neilson, C. (2020). </w:t>
      </w:r>
      <w:r>
        <w:rPr>
          <w:rFonts w:asciiTheme="majorHAnsi" w:hAnsiTheme="majorHAnsi" w:cstheme="majorHAnsi"/>
          <w:i/>
          <w:iCs/>
        </w:rPr>
        <w:t>The evolving impacts of COVID-19 on small businesses since the CARES Act</w:t>
      </w:r>
      <w:r>
        <w:rPr>
          <w:rFonts w:asciiTheme="majorHAnsi" w:hAnsiTheme="majorHAnsi" w:cstheme="majorHAnsi"/>
        </w:rPr>
        <w:t>. Retrieved from https://ssrn.com/abstract=3584745</w:t>
      </w:r>
    </w:p>
    <w:p w14:paraId="24057C28"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Kawaguchi, K., &amp; Kodama, N. (2020). Small Business under the COVID-19 Crisis : Expected Short- and Medium-Run Effects of Anti-Contagion and Economic Policies </w:t>
      </w:r>
      <w:r>
        <w:rPr>
          <w:rFonts w:ascii="Cambria Math" w:hAnsi="Cambria Math" w:cs="Cambria Math"/>
        </w:rPr>
        <w:t>∗</w:t>
      </w:r>
      <w:r>
        <w:rPr>
          <w:rFonts w:asciiTheme="majorHAnsi" w:hAnsiTheme="majorHAnsi" w:cstheme="majorHAnsi"/>
        </w:rPr>
        <w:t xml:space="preserve">. In </w:t>
      </w:r>
      <w:r>
        <w:rPr>
          <w:rFonts w:asciiTheme="majorHAnsi" w:hAnsiTheme="majorHAnsi" w:cstheme="majorHAnsi"/>
          <w:i/>
          <w:iCs/>
        </w:rPr>
        <w:t>SSRN</w:t>
      </w:r>
      <w:r>
        <w:rPr>
          <w:rFonts w:asciiTheme="majorHAnsi" w:hAnsiTheme="majorHAnsi" w:cstheme="majorHAnsi"/>
        </w:rPr>
        <w:t>. Retrieved from https://ssrn.com/abstract=3634544</w:t>
      </w:r>
    </w:p>
    <w:p w14:paraId="0178D637"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Kim, S. (1995). Expansion of Markets and the Geographic Distribution of Economic Activities: The Trends in U. S. Regional Manufacturing Structure, 1860-1987. </w:t>
      </w:r>
      <w:r>
        <w:rPr>
          <w:rFonts w:asciiTheme="majorHAnsi" w:hAnsiTheme="majorHAnsi" w:cstheme="majorHAnsi"/>
          <w:i/>
          <w:iCs/>
        </w:rPr>
        <w:t>The Quarterly Journal of Economics</w:t>
      </w:r>
      <w:r>
        <w:rPr>
          <w:rFonts w:asciiTheme="majorHAnsi" w:hAnsiTheme="majorHAnsi" w:cstheme="majorHAnsi"/>
        </w:rPr>
        <w:t xml:space="preserve">, </w:t>
      </w:r>
      <w:r>
        <w:rPr>
          <w:rFonts w:asciiTheme="majorHAnsi" w:hAnsiTheme="majorHAnsi" w:cstheme="majorHAnsi"/>
          <w:i/>
          <w:iCs/>
        </w:rPr>
        <w:t>110</w:t>
      </w:r>
      <w:r>
        <w:rPr>
          <w:rFonts w:asciiTheme="majorHAnsi" w:hAnsiTheme="majorHAnsi" w:cstheme="majorHAnsi"/>
        </w:rPr>
        <w:t>(4), 881–908. https://doi.org/10.2307/2946643</w:t>
      </w:r>
    </w:p>
    <w:p w14:paraId="13BE9AA1"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Kuncoro, M. (2012). Ekonomika Aglomerasi: Dinamika dan Dimensi Spasial. In </w:t>
      </w:r>
      <w:r>
        <w:rPr>
          <w:rFonts w:asciiTheme="majorHAnsi" w:hAnsiTheme="majorHAnsi" w:cstheme="majorHAnsi"/>
          <w:i/>
          <w:iCs/>
        </w:rPr>
        <w:t>UPP AMP YKPN Yokyakarta</w:t>
      </w:r>
      <w:r>
        <w:rPr>
          <w:rFonts w:asciiTheme="majorHAnsi" w:hAnsiTheme="majorHAnsi" w:cstheme="majorHAnsi"/>
        </w:rPr>
        <w:t xml:space="preserve"> (1st ed.).</w:t>
      </w:r>
    </w:p>
    <w:p w14:paraId="123ED122"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Li, D., Lu, Y., &amp; Wu, M. (2012). Industrial Agglomeration and Firm Size: Evidence from China. </w:t>
      </w:r>
      <w:r>
        <w:rPr>
          <w:rFonts w:asciiTheme="majorHAnsi" w:hAnsiTheme="majorHAnsi" w:cstheme="majorHAnsi"/>
          <w:i/>
          <w:iCs/>
        </w:rPr>
        <w:t>Regional Science and Urban Economics</w:t>
      </w:r>
      <w:r>
        <w:rPr>
          <w:rFonts w:asciiTheme="majorHAnsi" w:hAnsiTheme="majorHAnsi" w:cstheme="majorHAnsi"/>
        </w:rPr>
        <w:t xml:space="preserve">, </w:t>
      </w:r>
      <w:r>
        <w:rPr>
          <w:rFonts w:asciiTheme="majorHAnsi" w:hAnsiTheme="majorHAnsi" w:cstheme="majorHAnsi"/>
          <w:i/>
          <w:iCs/>
        </w:rPr>
        <w:t>42</w:t>
      </w:r>
      <w:r>
        <w:rPr>
          <w:rFonts w:asciiTheme="majorHAnsi" w:hAnsiTheme="majorHAnsi" w:cstheme="majorHAnsi"/>
        </w:rPr>
        <w:t>(1–2), 135–143. https://doi.org/10.1016/j.regsciurbeco.2011.07.003</w:t>
      </w:r>
    </w:p>
    <w:p w14:paraId="0EE9BEA3"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Mukhlis, Robiani, B., Marwa, T., &amp; Chodijah, R. (2017). Agglomeration of Manufacturing Industrial, Economic Growth, And Interregional Inequality in South Sumatra, Indonesia. </w:t>
      </w:r>
      <w:r>
        <w:rPr>
          <w:rFonts w:asciiTheme="majorHAnsi" w:hAnsiTheme="majorHAnsi" w:cstheme="majorHAnsi"/>
          <w:i/>
          <w:iCs/>
        </w:rPr>
        <w:t>International Journal of Economics and Financial Issues</w:t>
      </w:r>
      <w:r>
        <w:rPr>
          <w:rFonts w:asciiTheme="majorHAnsi" w:hAnsiTheme="majorHAnsi" w:cstheme="majorHAnsi"/>
        </w:rPr>
        <w:t xml:space="preserve">, </w:t>
      </w:r>
      <w:r>
        <w:rPr>
          <w:rFonts w:asciiTheme="majorHAnsi" w:hAnsiTheme="majorHAnsi" w:cstheme="majorHAnsi"/>
          <w:i/>
          <w:iCs/>
        </w:rPr>
        <w:t>7</w:t>
      </w:r>
      <w:r>
        <w:rPr>
          <w:rFonts w:asciiTheme="majorHAnsi" w:hAnsiTheme="majorHAnsi" w:cstheme="majorHAnsi"/>
        </w:rPr>
        <w:t>(4), 214–224. Retrieved from https://www.econjournals.com/index.php/ijefi/article/view/5008</w:t>
      </w:r>
    </w:p>
    <w:p w14:paraId="384334AA" w14:textId="77777777" w:rsidR="003640D6" w:rsidRDefault="00000000">
      <w:pPr>
        <w:autoSpaceDE w:val="0"/>
        <w:autoSpaceDN w:val="0"/>
        <w:adjustRightInd w:val="0"/>
        <w:spacing w:after="0" w:line="240" w:lineRule="auto"/>
        <w:ind w:left="482" w:hanging="482"/>
        <w:jc w:val="both"/>
        <w:rPr>
          <w:rFonts w:asciiTheme="majorHAnsi" w:hAnsiTheme="majorHAnsi" w:cstheme="majorHAnsi"/>
        </w:rPr>
      </w:pPr>
      <w:r>
        <w:rPr>
          <w:rFonts w:asciiTheme="majorHAnsi" w:hAnsiTheme="majorHAnsi" w:cstheme="majorHAnsi"/>
        </w:rPr>
        <w:t xml:space="preserve">Papadopoulos, T., Baltas, K. N., &amp; Elisavet, M. (2020). The use of digital technologies by small and medium enterprises during COVID-19 : Implications for theory and practice. </w:t>
      </w:r>
      <w:r>
        <w:rPr>
          <w:rFonts w:asciiTheme="majorHAnsi" w:hAnsiTheme="majorHAnsi" w:cstheme="majorHAnsi"/>
          <w:i/>
          <w:iCs/>
        </w:rPr>
        <w:t>International Journal of Information Management</w:t>
      </w:r>
      <w:r>
        <w:rPr>
          <w:rFonts w:asciiTheme="majorHAnsi" w:hAnsiTheme="majorHAnsi" w:cstheme="majorHAnsi"/>
        </w:rPr>
        <w:t>, (June), 102192. https://doi.org/10.1016/j.ijinfomgt.2020.102192</w:t>
      </w:r>
    </w:p>
    <w:p w14:paraId="05483DDB" w14:textId="77777777" w:rsidR="003640D6" w:rsidRDefault="003640D6">
      <w:pPr>
        <w:spacing w:after="0" w:line="240" w:lineRule="auto"/>
        <w:ind w:firstLine="425"/>
        <w:jc w:val="both"/>
      </w:pPr>
    </w:p>
    <w:sectPr w:rsidR="003640D6">
      <w:headerReference w:type="even" r:id="rId13"/>
      <w:headerReference w:type="default" r:id="rId14"/>
      <w:footerReference w:type="even" r:id="rId15"/>
      <w:footerReference w:type="default" r:id="rId16"/>
      <w:headerReference w:type="first" r:id="rId17"/>
      <w:footerReference w:type="first" r:id="rId18"/>
      <w:pgSz w:w="11906" w:h="16838"/>
      <w:pgMar w:top="1417" w:right="1531" w:bottom="1077" w:left="1531" w:header="0" w:footer="585"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3-01-12T22:54:00Z" w:initials="A">
    <w:p w14:paraId="769EBAB1" w14:textId="77777777" w:rsidR="00D229A4" w:rsidRDefault="008D658C" w:rsidP="00756B9B">
      <w:pPr>
        <w:pStyle w:val="CommentText"/>
      </w:pPr>
      <w:r>
        <w:rPr>
          <w:rStyle w:val="CommentReference"/>
        </w:rPr>
        <w:annotationRef/>
      </w:r>
      <w:r w:rsidR="00D229A4">
        <w:t>Abstract must contains: Research objectives;  Data; Method; Result; and practical implications</w:t>
      </w:r>
    </w:p>
  </w:comment>
  <w:comment w:id="3" w:author="Author" w:date="2023-01-13T14:26:00Z" w:initials="A">
    <w:p w14:paraId="2D9ED3BE" w14:textId="4D099A66" w:rsidR="00D229A4" w:rsidRDefault="00D229A4" w:rsidP="000E3B05">
      <w:pPr>
        <w:pStyle w:val="CommentText"/>
      </w:pPr>
      <w:r>
        <w:rPr>
          <w:rStyle w:val="CommentReference"/>
        </w:rPr>
        <w:annotationRef/>
      </w:r>
      <w:r>
        <w:t>Please add more previous studies in this paragraph</w:t>
      </w:r>
    </w:p>
  </w:comment>
  <w:comment w:id="4" w:author="Author" w:date="2023-01-13T14:29:00Z" w:initials="A">
    <w:p w14:paraId="047508E9" w14:textId="77777777" w:rsidR="00D229A4" w:rsidRDefault="00D229A4" w:rsidP="00EB11D4">
      <w:pPr>
        <w:pStyle w:val="CommentText"/>
      </w:pPr>
      <w:r>
        <w:rPr>
          <w:rStyle w:val="CommentReference"/>
        </w:rPr>
        <w:annotationRef/>
      </w:r>
      <w:r>
        <w:t>Please sharpen your reasoning again</w:t>
      </w:r>
    </w:p>
  </w:comment>
  <w:comment w:id="5" w:author="Author" w:date="2023-01-13T14:31:00Z" w:initials="A">
    <w:p w14:paraId="496BF60C" w14:textId="77777777" w:rsidR="00D229A4" w:rsidRDefault="00D229A4" w:rsidP="00536C4C">
      <w:pPr>
        <w:pStyle w:val="CommentText"/>
      </w:pPr>
      <w:r>
        <w:rPr>
          <w:rStyle w:val="CommentReference"/>
        </w:rPr>
        <w:annotationRef/>
      </w:r>
      <w:r>
        <w:t>Please group the same and different studies</w:t>
      </w:r>
    </w:p>
  </w:comment>
  <w:comment w:id="6" w:author="Author" w:date="2023-01-12T22:58:00Z" w:initials="A">
    <w:p w14:paraId="03DAF67F" w14:textId="3DDFFC4C" w:rsidR="00D229A4" w:rsidRDefault="008D658C" w:rsidP="007469BB">
      <w:pPr>
        <w:pStyle w:val="CommentText"/>
      </w:pPr>
      <w:r>
        <w:rPr>
          <w:rStyle w:val="CommentReference"/>
        </w:rPr>
        <w:annotationRef/>
      </w:r>
      <w:r w:rsidR="00D229A4">
        <w:t>Author must shows clearly about the research gap, novelty, and research objectives. You can write the research gap, novelty, and research objectives in this paragraph.</w:t>
      </w:r>
    </w:p>
  </w:comment>
  <w:comment w:id="7" w:author="Author" w:date="2023-01-12T22:58:00Z" w:initials="A">
    <w:p w14:paraId="19328B79" w14:textId="77777777" w:rsidR="00D229A4" w:rsidRDefault="00F30BE2" w:rsidP="00F0164B">
      <w:pPr>
        <w:pStyle w:val="CommentText"/>
      </w:pPr>
      <w:r>
        <w:rPr>
          <w:rStyle w:val="CommentReference"/>
        </w:rPr>
        <w:annotationRef/>
      </w:r>
      <w:r w:rsidR="00D229A4">
        <w:t>Please explain more briefly about the data and tools of analysis in this research</w:t>
      </w:r>
    </w:p>
  </w:comment>
  <w:comment w:id="8" w:author="Author" w:date="2023-01-12T22:59:00Z" w:initials="A">
    <w:p w14:paraId="43DFFD50" w14:textId="77777777" w:rsidR="00D229A4" w:rsidRDefault="00F30BE2" w:rsidP="0083557F">
      <w:pPr>
        <w:pStyle w:val="CommentText"/>
      </w:pPr>
      <w:r>
        <w:rPr>
          <w:rStyle w:val="CommentReference"/>
        </w:rPr>
        <w:annotationRef/>
      </w:r>
      <w:r w:rsidR="00D229A4">
        <w:t>Please add explain clearly about the main result of this research; add more depth analysis; and add compare the empirical result with previous studies.</w:t>
      </w:r>
    </w:p>
  </w:comment>
  <w:comment w:id="9" w:author="Author" w:date="2023-01-12T22:59:00Z" w:initials="A">
    <w:p w14:paraId="4748DA89" w14:textId="77777777" w:rsidR="00485FC0" w:rsidRDefault="00F30BE2" w:rsidP="009E2F49">
      <w:pPr>
        <w:pStyle w:val="CommentText"/>
      </w:pPr>
      <w:r>
        <w:rPr>
          <w:rStyle w:val="CommentReference"/>
        </w:rPr>
        <w:annotationRef/>
      </w:r>
      <w:r w:rsidR="00485FC0">
        <w:t>Please add recommendation and the policy implication of this study</w:t>
      </w:r>
    </w:p>
  </w:comment>
  <w:comment w:id="10" w:author="Author" w:date="2023-01-12T22:59:00Z" w:initials="A">
    <w:p w14:paraId="0A400364" w14:textId="77777777" w:rsidR="00485FC0" w:rsidRDefault="00F30BE2" w:rsidP="00B73A6D">
      <w:pPr>
        <w:pStyle w:val="CommentText"/>
      </w:pPr>
      <w:r>
        <w:rPr>
          <w:rStyle w:val="CommentReference"/>
        </w:rPr>
        <w:annotationRef/>
      </w:r>
      <w:r w:rsidR="00485FC0">
        <w:t>Please add more references from journals, especially from international reputable journals. At least 85% references must from journals. And using APA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EBAB1" w15:done="0"/>
  <w15:commentEx w15:paraId="2D9ED3BE" w15:done="0"/>
  <w15:commentEx w15:paraId="047508E9" w15:done="0"/>
  <w15:commentEx w15:paraId="496BF60C" w15:done="0"/>
  <w15:commentEx w15:paraId="03DAF67F" w15:done="0"/>
  <w15:commentEx w15:paraId="19328B79" w15:done="0"/>
  <w15:commentEx w15:paraId="43DFFD50" w15:done="0"/>
  <w15:commentEx w15:paraId="4748DA89" w15:done="0"/>
  <w15:commentEx w15:paraId="0A4003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0E34" w16cex:dateUtc="2023-01-12T15:54:00Z"/>
  <w16cex:commentExtensible w16cex:durableId="276BE88F" w16cex:dateUtc="2023-01-13T07:26:00Z"/>
  <w16cex:commentExtensible w16cex:durableId="276BE93F" w16cex:dateUtc="2023-01-13T07:29:00Z"/>
  <w16cex:commentExtensible w16cex:durableId="276BE9DE" w16cex:dateUtc="2023-01-13T07:31:00Z"/>
  <w16cex:commentExtensible w16cex:durableId="276B0EFA" w16cex:dateUtc="2023-01-12T15:58:00Z"/>
  <w16cex:commentExtensible w16cex:durableId="276B0F16" w16cex:dateUtc="2023-01-12T15:58:00Z"/>
  <w16cex:commentExtensible w16cex:durableId="276B0F36" w16cex:dateUtc="2023-01-12T15:59:00Z"/>
  <w16cex:commentExtensible w16cex:durableId="276B0F47" w16cex:dateUtc="2023-01-12T15:59:00Z"/>
  <w16cex:commentExtensible w16cex:durableId="276B0F66" w16cex:dateUtc="2023-01-12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EBAB1" w16cid:durableId="276B0E34"/>
  <w16cid:commentId w16cid:paraId="2D9ED3BE" w16cid:durableId="276BE88F"/>
  <w16cid:commentId w16cid:paraId="047508E9" w16cid:durableId="276BE93F"/>
  <w16cid:commentId w16cid:paraId="496BF60C" w16cid:durableId="276BE9DE"/>
  <w16cid:commentId w16cid:paraId="03DAF67F" w16cid:durableId="276B0EFA"/>
  <w16cid:commentId w16cid:paraId="19328B79" w16cid:durableId="276B0F16"/>
  <w16cid:commentId w16cid:paraId="43DFFD50" w16cid:durableId="276B0F36"/>
  <w16cid:commentId w16cid:paraId="4748DA89" w16cid:durableId="276B0F47"/>
  <w16cid:commentId w16cid:paraId="0A400364" w16cid:durableId="276B0F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52A8" w14:textId="77777777" w:rsidR="008C54E7" w:rsidRDefault="008C54E7">
      <w:pPr>
        <w:spacing w:line="240" w:lineRule="auto"/>
      </w:pPr>
      <w:r>
        <w:separator/>
      </w:r>
    </w:p>
  </w:endnote>
  <w:endnote w:type="continuationSeparator" w:id="0">
    <w:p w14:paraId="6922D2E4" w14:textId="77777777" w:rsidR="008C54E7" w:rsidRDefault="008C5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1728" w14:textId="77777777" w:rsidR="002E1EEF" w:rsidRDefault="002E1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020496"/>
      <w:docPartObj>
        <w:docPartGallery w:val="AutoText"/>
      </w:docPartObj>
    </w:sdtPr>
    <w:sdtContent>
      <w:sdt>
        <w:sdtPr>
          <w:id w:val="1420064377"/>
          <w:docPartObj>
            <w:docPartGallery w:val="AutoText"/>
          </w:docPartObj>
        </w:sdtPr>
        <w:sdtEndPr>
          <w:rPr>
            <w:sz w:val="20"/>
            <w:szCs w:val="20"/>
          </w:rPr>
        </w:sdtEndPr>
        <w:sdtContent>
          <w:p w14:paraId="10C9737B" w14:textId="77777777" w:rsidR="003640D6" w:rsidRDefault="00000000">
            <w:pPr>
              <w:pStyle w:val="Footer"/>
              <w:pBdr>
                <w:top w:val="single" w:sz="4" w:space="1" w:color="auto"/>
              </w:pBdr>
              <w:rPr>
                <w:sz w:val="20"/>
                <w:szCs w:val="20"/>
              </w:rPr>
            </w:pPr>
            <w:r>
              <w:rPr>
                <w:sz w:val="20"/>
              </w:rPr>
              <w:t>https://ejournal.unsri.ac.id/index.php/jep/index</w:t>
            </w:r>
            <w:r>
              <w:rPr>
                <w:sz w:val="20"/>
                <w:szCs w:val="20"/>
              </w:rPr>
              <w:tab/>
            </w:r>
          </w:p>
          <w:p w14:paraId="1B5FEC16" w14:textId="77777777" w:rsidR="003640D6" w:rsidRDefault="00000000">
            <w:pPr>
              <w:pStyle w:val="Footer"/>
              <w:pBdr>
                <w:top w:val="single" w:sz="4" w:space="1" w:color="auto"/>
              </w:pBdr>
              <w:rPr>
                <w:sz w:val="20"/>
                <w:szCs w:val="20"/>
              </w:rPr>
            </w:pPr>
            <w:r>
              <w:rPr>
                <w:sz w:val="20"/>
                <w:szCs w:val="20"/>
              </w:rPr>
              <w:t xml:space="preserve">DOI: https://doi.org/10.29259/jep.vxxix.xxxx </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3</w:t>
            </w:r>
            <w:r>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91782"/>
      <w:docPartObj>
        <w:docPartGallery w:val="AutoText"/>
      </w:docPartObj>
    </w:sdtPr>
    <w:sdtEndPr>
      <w:rPr>
        <w:sz w:val="20"/>
        <w:szCs w:val="20"/>
      </w:rPr>
    </w:sdtEndPr>
    <w:sdtContent>
      <w:p w14:paraId="4E7F0153" w14:textId="77777777" w:rsidR="003640D6" w:rsidRDefault="00000000">
        <w:pPr>
          <w:pStyle w:val="Footer"/>
          <w:pBdr>
            <w:top w:val="single" w:sz="4" w:space="1" w:color="auto"/>
          </w:pBdr>
          <w:rPr>
            <w:sz w:val="20"/>
            <w:szCs w:val="20"/>
          </w:rPr>
        </w:pPr>
        <w:r>
          <w:rPr>
            <w:sz w:val="20"/>
          </w:rPr>
          <w:t>https://ejournal.unsri.ac.id/index.php/jep/index</w:t>
        </w:r>
        <w:r>
          <w:rPr>
            <w:sz w:val="20"/>
            <w:szCs w:val="20"/>
          </w:rPr>
          <w:tab/>
        </w:r>
      </w:p>
      <w:p w14:paraId="7962AC3C" w14:textId="77777777" w:rsidR="003640D6" w:rsidRDefault="00000000">
        <w:pPr>
          <w:pStyle w:val="Footer"/>
          <w:pBdr>
            <w:top w:val="single" w:sz="4" w:space="1" w:color="auto"/>
          </w:pBdr>
          <w:rPr>
            <w:sz w:val="20"/>
            <w:szCs w:val="20"/>
          </w:rPr>
        </w:pPr>
        <w:r>
          <w:rPr>
            <w:sz w:val="20"/>
            <w:szCs w:val="20"/>
          </w:rPr>
          <w:t xml:space="preserve">DOI: https://doi.org/10.29259/jep.vxxix.xxxx </w:t>
        </w:r>
        <w:r>
          <w:rPr>
            <w:sz w:val="20"/>
            <w:szCs w:val="20"/>
          </w:rPr>
          <w:tab/>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F5C1" w14:textId="77777777" w:rsidR="008C54E7" w:rsidRDefault="008C54E7">
      <w:pPr>
        <w:spacing w:after="0"/>
      </w:pPr>
      <w:r>
        <w:separator/>
      </w:r>
    </w:p>
  </w:footnote>
  <w:footnote w:type="continuationSeparator" w:id="0">
    <w:p w14:paraId="6C398C9E" w14:textId="77777777" w:rsidR="008C54E7" w:rsidRDefault="008C54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56D5" w14:textId="77777777" w:rsidR="002E1EEF" w:rsidRDefault="002E1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50F9" w14:textId="77777777" w:rsidR="003640D6" w:rsidRDefault="00000000">
    <w:pPr>
      <w:spacing w:before="600" w:after="240" w:line="240" w:lineRule="auto"/>
      <w:rPr>
        <w:rFonts w:ascii="Palatino Linotype" w:eastAsia="Palatino Linotype" w:hAnsi="Palatino Linotype" w:cs="Palatino Linotype"/>
        <w:sz w:val="16"/>
        <w:szCs w:val="16"/>
      </w:rPr>
    </w:pPr>
    <w:r>
      <w:rPr>
        <w:rFonts w:ascii="Palatino Linotype" w:eastAsia="Palatino Linotype" w:hAnsi="Palatino Linotype" w:cs="Palatino Linotype"/>
        <w:i/>
        <w:sz w:val="16"/>
        <w:szCs w:val="16"/>
      </w:rPr>
      <w:t>Jurnal Ekonomi Pembangunan, Vol. xx (xx): page xx-xx, month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04CD" w14:textId="77777777" w:rsidR="003640D6" w:rsidRDefault="00000000">
    <w:pPr>
      <w:spacing w:after="0" w:line="240" w:lineRule="auto"/>
      <w:jc w:val="right"/>
      <w:rPr>
        <w:rFonts w:ascii="Palatino Linotype" w:eastAsia="Palatino Linotype" w:hAnsi="Palatino Linotype" w:cs="Palatino Linotype"/>
        <w:i/>
      </w:rPr>
    </w:pPr>
    <w:r>
      <w:rPr>
        <w:rFonts w:ascii="Palatino Linotype" w:eastAsia="Palatino Linotype" w:hAnsi="Palatino Linotype" w:cs="Palatino Linotype"/>
        <w:i/>
        <w:noProof/>
        <w:lang w:val="en-GB" w:eastAsia="en-GB"/>
      </w:rPr>
      <w:drawing>
        <wp:anchor distT="0" distB="0" distL="114300" distR="114300" simplePos="0" relativeHeight="251659264" behindDoc="1" locked="0" layoutInCell="1" allowOverlap="1" wp14:anchorId="39C8DCC1" wp14:editId="69C9B9E4">
          <wp:simplePos x="0" y="0"/>
          <wp:positionH relativeFrom="column">
            <wp:posOffset>-162560</wp:posOffset>
          </wp:positionH>
          <wp:positionV relativeFrom="paragraph">
            <wp:posOffset>29845</wp:posOffset>
          </wp:positionV>
          <wp:extent cx="923925" cy="923925"/>
          <wp:effectExtent l="0" t="0" r="9525" b="9525"/>
          <wp:wrapNone/>
          <wp:docPr id="7" name="Picture 7" descr="C:\Users\DELL\Downloads\WhatsApp Image 2019-06-26 at 15.14.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DELL\Downloads\WhatsApp Image 2019-06-26 at 15.14.24.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23925" cy="923925"/>
                  </a:xfrm>
                  <a:prstGeom prst="rect">
                    <a:avLst/>
                  </a:prstGeom>
                  <a:noFill/>
                  <a:ln>
                    <a:noFill/>
                  </a:ln>
                </pic:spPr>
              </pic:pic>
            </a:graphicData>
          </a:graphic>
        </wp:anchor>
      </w:drawing>
    </w:r>
  </w:p>
  <w:p w14:paraId="66A0094F" w14:textId="77777777" w:rsidR="003640D6" w:rsidRDefault="00000000">
    <w:pPr>
      <w:spacing w:after="0" w:line="240" w:lineRule="auto"/>
      <w:jc w:val="right"/>
      <w:rPr>
        <w:rFonts w:ascii="Palatino Linotype" w:eastAsia="Palatino Linotype" w:hAnsi="Palatino Linotype" w:cs="Palatino Linotype"/>
        <w:b/>
      </w:rPr>
    </w:pPr>
    <w:r>
      <w:rPr>
        <w:rFonts w:ascii="Palatino Linotype" w:eastAsia="Palatino Linotype" w:hAnsi="Palatino Linotype" w:cs="Palatino Linotype"/>
        <w:b/>
      </w:rPr>
      <w:t xml:space="preserve"> </w:t>
    </w:r>
    <w:r>
      <w:rPr>
        <w:rFonts w:ascii="Palatino Linotype" w:eastAsia="Palatino Linotype" w:hAnsi="Palatino Linotype" w:cs="Palatino Linotype"/>
        <w:b/>
        <w:lang w:val="id-ID"/>
      </w:rPr>
      <w:t>Jurnal Ekonomi</w:t>
    </w:r>
    <w:r>
      <w:rPr>
        <w:rFonts w:ascii="Palatino Linotype" w:eastAsia="Palatino Linotype" w:hAnsi="Palatino Linotype" w:cs="Palatino Linotype"/>
        <w:b/>
      </w:rPr>
      <w:t xml:space="preserve"> Pembangunan</w:t>
    </w:r>
  </w:p>
  <w:p w14:paraId="2491F790" w14:textId="77777777" w:rsidR="003640D6" w:rsidRDefault="00000000">
    <w:pPr>
      <w:spacing w:after="0" w:line="240" w:lineRule="auto"/>
      <w:jc w:val="right"/>
      <w:rPr>
        <w:rFonts w:ascii="Palatino Linotype" w:eastAsia="Palatino Linotype" w:hAnsi="Palatino Linotype" w:cs="Palatino Linotype"/>
      </w:rPr>
    </w:pPr>
    <w:r>
      <w:rPr>
        <w:rFonts w:ascii="Palatino Linotype" w:eastAsia="Palatino Linotype" w:hAnsi="Palatino Linotype" w:cs="Palatino Linotype"/>
      </w:rPr>
      <w:t>Volume XX (XX): xx-xx, Month Year</w:t>
    </w:r>
  </w:p>
  <w:p w14:paraId="0ED31D51" w14:textId="77777777" w:rsidR="003640D6" w:rsidRDefault="00000000">
    <w:pPr>
      <w:spacing w:after="0" w:line="240" w:lineRule="auto"/>
      <w:jc w:val="right"/>
      <w:rPr>
        <w:rFonts w:ascii="Palatino Linotype" w:eastAsia="Palatino Linotype" w:hAnsi="Palatino Linotype" w:cs="Palatino Linotype"/>
        <w:sz w:val="16"/>
        <w:szCs w:val="20"/>
      </w:rPr>
    </w:pPr>
    <w:r>
      <w:rPr>
        <w:rFonts w:ascii="Palatino Linotype" w:eastAsia="Palatino Linotype" w:hAnsi="Palatino Linotype" w:cs="Palatino Linotype"/>
        <w:lang w:val="id-ID"/>
      </w:rPr>
      <w:t xml:space="preserve">              </w:t>
    </w:r>
    <w:r>
      <w:rPr>
        <w:rFonts w:ascii="Palatino Linotype" w:eastAsia="Palatino Linotype" w:hAnsi="Palatino Linotype" w:cs="Palatino Linotype"/>
        <w:sz w:val="18"/>
        <w:lang w:val="en-GB"/>
      </w:rPr>
      <w:t>P</w:t>
    </w:r>
    <w:r>
      <w:rPr>
        <w:rFonts w:ascii="Palatino Linotype" w:eastAsia="Palatino Linotype" w:hAnsi="Palatino Linotype" w:cs="Palatino Linotype"/>
        <w:sz w:val="18"/>
        <w:lang w:val="id-ID"/>
      </w:rPr>
      <w:t>-ISSN:</w:t>
    </w:r>
    <w:r>
      <w:rPr>
        <w:rFonts w:ascii="Palatino Linotype" w:eastAsia="Palatino Linotype" w:hAnsi="Palatino Linotype" w:cs="Palatino Linotype"/>
        <w:sz w:val="18"/>
      </w:rPr>
      <w:t xml:space="preserve"> 1829-5843; E-ISSN: 2685-0788</w:t>
    </w:r>
  </w:p>
  <w:p w14:paraId="54186346" w14:textId="77777777" w:rsidR="003640D6" w:rsidRDefault="003640D6" w:rsidP="008D658C">
    <w:pPr>
      <w:pStyle w:val="Header"/>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3C72"/>
    <w:multiLevelType w:val="multilevel"/>
    <w:tmpl w:val="0C443C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7408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removePersonalInformation/>
  <w:displayBackgroundShape/>
  <w:hideSpellingErrors/>
  <w:hideGrammaticalErrors/>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W0tLA0NTCzMDK2NDVV0lEKTi0uzszPAykwNKwFAMsZl0AtAAAA"/>
  </w:docVars>
  <w:rsids>
    <w:rsidRoot w:val="00D2546D"/>
    <w:rsid w:val="00014869"/>
    <w:rsid w:val="00014E91"/>
    <w:rsid w:val="0001716B"/>
    <w:rsid w:val="00060590"/>
    <w:rsid w:val="00077D4B"/>
    <w:rsid w:val="000837B6"/>
    <w:rsid w:val="00084F98"/>
    <w:rsid w:val="000926F8"/>
    <w:rsid w:val="000D7809"/>
    <w:rsid w:val="000E2547"/>
    <w:rsid w:val="000E3A85"/>
    <w:rsid w:val="000E7697"/>
    <w:rsid w:val="000F37A5"/>
    <w:rsid w:val="0011596A"/>
    <w:rsid w:val="001323CA"/>
    <w:rsid w:val="00142E1C"/>
    <w:rsid w:val="001436DB"/>
    <w:rsid w:val="00144903"/>
    <w:rsid w:val="00151308"/>
    <w:rsid w:val="00166992"/>
    <w:rsid w:val="00175143"/>
    <w:rsid w:val="00180485"/>
    <w:rsid w:val="001826F9"/>
    <w:rsid w:val="00183496"/>
    <w:rsid w:val="001840B7"/>
    <w:rsid w:val="00186A2D"/>
    <w:rsid w:val="00192143"/>
    <w:rsid w:val="001A0574"/>
    <w:rsid w:val="001A5E03"/>
    <w:rsid w:val="001B6951"/>
    <w:rsid w:val="001D49F1"/>
    <w:rsid w:val="00203AE3"/>
    <w:rsid w:val="002266C2"/>
    <w:rsid w:val="002363D0"/>
    <w:rsid w:val="002406DF"/>
    <w:rsid w:val="0024344A"/>
    <w:rsid w:val="00276A7F"/>
    <w:rsid w:val="00277EEB"/>
    <w:rsid w:val="002827E8"/>
    <w:rsid w:val="00291C67"/>
    <w:rsid w:val="00291C88"/>
    <w:rsid w:val="002940D2"/>
    <w:rsid w:val="002B307E"/>
    <w:rsid w:val="002C1163"/>
    <w:rsid w:val="002E1EEF"/>
    <w:rsid w:val="002E3ECC"/>
    <w:rsid w:val="002F50E4"/>
    <w:rsid w:val="002F60A6"/>
    <w:rsid w:val="00302AE0"/>
    <w:rsid w:val="00306A2F"/>
    <w:rsid w:val="00310031"/>
    <w:rsid w:val="00316EC2"/>
    <w:rsid w:val="003175B3"/>
    <w:rsid w:val="00324E07"/>
    <w:rsid w:val="00325A7E"/>
    <w:rsid w:val="00326A32"/>
    <w:rsid w:val="00331B49"/>
    <w:rsid w:val="0034005F"/>
    <w:rsid w:val="0035045B"/>
    <w:rsid w:val="00353C16"/>
    <w:rsid w:val="003640D6"/>
    <w:rsid w:val="00367819"/>
    <w:rsid w:val="003873B8"/>
    <w:rsid w:val="003C1ABF"/>
    <w:rsid w:val="003E2CC6"/>
    <w:rsid w:val="003E7906"/>
    <w:rsid w:val="003F4977"/>
    <w:rsid w:val="00410CED"/>
    <w:rsid w:val="00432165"/>
    <w:rsid w:val="00434AE3"/>
    <w:rsid w:val="0044391D"/>
    <w:rsid w:val="0044613C"/>
    <w:rsid w:val="004630F2"/>
    <w:rsid w:val="00473AD3"/>
    <w:rsid w:val="00485B40"/>
    <w:rsid w:val="00485E55"/>
    <w:rsid w:val="00485FC0"/>
    <w:rsid w:val="00487EFB"/>
    <w:rsid w:val="00495D19"/>
    <w:rsid w:val="004A7081"/>
    <w:rsid w:val="004B29DD"/>
    <w:rsid w:val="004B7602"/>
    <w:rsid w:val="004D1AF3"/>
    <w:rsid w:val="004D5BA4"/>
    <w:rsid w:val="004D64FD"/>
    <w:rsid w:val="004E4AD8"/>
    <w:rsid w:val="004E53EF"/>
    <w:rsid w:val="004F7695"/>
    <w:rsid w:val="00507DA6"/>
    <w:rsid w:val="00510293"/>
    <w:rsid w:val="005201C0"/>
    <w:rsid w:val="005431B6"/>
    <w:rsid w:val="00563F23"/>
    <w:rsid w:val="00571035"/>
    <w:rsid w:val="0059444C"/>
    <w:rsid w:val="005A4E68"/>
    <w:rsid w:val="005B2963"/>
    <w:rsid w:val="005D7604"/>
    <w:rsid w:val="005D7E90"/>
    <w:rsid w:val="005E21C8"/>
    <w:rsid w:val="005F6DE2"/>
    <w:rsid w:val="006161E0"/>
    <w:rsid w:val="00631FCC"/>
    <w:rsid w:val="0063704F"/>
    <w:rsid w:val="00673891"/>
    <w:rsid w:val="00674812"/>
    <w:rsid w:val="00680E4F"/>
    <w:rsid w:val="006829C2"/>
    <w:rsid w:val="00685144"/>
    <w:rsid w:val="006A3EAB"/>
    <w:rsid w:val="006B4D7F"/>
    <w:rsid w:val="006D00BB"/>
    <w:rsid w:val="006D1F4F"/>
    <w:rsid w:val="006D6E95"/>
    <w:rsid w:val="006D7E13"/>
    <w:rsid w:val="006E3270"/>
    <w:rsid w:val="00707F4F"/>
    <w:rsid w:val="00727403"/>
    <w:rsid w:val="00751C5E"/>
    <w:rsid w:val="00762B30"/>
    <w:rsid w:val="00764290"/>
    <w:rsid w:val="00780008"/>
    <w:rsid w:val="00783754"/>
    <w:rsid w:val="00791AA1"/>
    <w:rsid w:val="007A3B0E"/>
    <w:rsid w:val="007B371B"/>
    <w:rsid w:val="007B449F"/>
    <w:rsid w:val="007D1BE8"/>
    <w:rsid w:val="007D3F82"/>
    <w:rsid w:val="007F02C6"/>
    <w:rsid w:val="007F644A"/>
    <w:rsid w:val="008054F0"/>
    <w:rsid w:val="00833AB2"/>
    <w:rsid w:val="00875073"/>
    <w:rsid w:val="008752C9"/>
    <w:rsid w:val="00875E5B"/>
    <w:rsid w:val="00880219"/>
    <w:rsid w:val="008811DF"/>
    <w:rsid w:val="00891096"/>
    <w:rsid w:val="008B1162"/>
    <w:rsid w:val="008C398C"/>
    <w:rsid w:val="008C54E7"/>
    <w:rsid w:val="008C7DE9"/>
    <w:rsid w:val="008D658C"/>
    <w:rsid w:val="008E2E0C"/>
    <w:rsid w:val="008E3D9E"/>
    <w:rsid w:val="008F1774"/>
    <w:rsid w:val="008F69AA"/>
    <w:rsid w:val="00900FB2"/>
    <w:rsid w:val="009017C6"/>
    <w:rsid w:val="00930992"/>
    <w:rsid w:val="00935A2B"/>
    <w:rsid w:val="00953139"/>
    <w:rsid w:val="00957BA3"/>
    <w:rsid w:val="00960670"/>
    <w:rsid w:val="009612B6"/>
    <w:rsid w:val="00970DEA"/>
    <w:rsid w:val="00975F1E"/>
    <w:rsid w:val="009824CF"/>
    <w:rsid w:val="00985DFB"/>
    <w:rsid w:val="009A2B56"/>
    <w:rsid w:val="009B5402"/>
    <w:rsid w:val="009C3896"/>
    <w:rsid w:val="009D6963"/>
    <w:rsid w:val="009E0DB6"/>
    <w:rsid w:val="00A030C5"/>
    <w:rsid w:val="00A223CE"/>
    <w:rsid w:val="00A24404"/>
    <w:rsid w:val="00A252A8"/>
    <w:rsid w:val="00A53E99"/>
    <w:rsid w:val="00A5635C"/>
    <w:rsid w:val="00A67EA6"/>
    <w:rsid w:val="00A7435D"/>
    <w:rsid w:val="00A85870"/>
    <w:rsid w:val="00A878B3"/>
    <w:rsid w:val="00A87924"/>
    <w:rsid w:val="00A95499"/>
    <w:rsid w:val="00AA2198"/>
    <w:rsid w:val="00AC76BC"/>
    <w:rsid w:val="00AD3D0D"/>
    <w:rsid w:val="00AE2668"/>
    <w:rsid w:val="00AE7138"/>
    <w:rsid w:val="00B0130B"/>
    <w:rsid w:val="00B25B22"/>
    <w:rsid w:val="00B3422F"/>
    <w:rsid w:val="00B572B8"/>
    <w:rsid w:val="00B750F2"/>
    <w:rsid w:val="00B75C14"/>
    <w:rsid w:val="00B80DD5"/>
    <w:rsid w:val="00B837B4"/>
    <w:rsid w:val="00BA2349"/>
    <w:rsid w:val="00BA2BAD"/>
    <w:rsid w:val="00BB7B82"/>
    <w:rsid w:val="00BC1F8E"/>
    <w:rsid w:val="00BF44EA"/>
    <w:rsid w:val="00C00075"/>
    <w:rsid w:val="00C00911"/>
    <w:rsid w:val="00C049B4"/>
    <w:rsid w:val="00C54467"/>
    <w:rsid w:val="00C6323A"/>
    <w:rsid w:val="00C653FB"/>
    <w:rsid w:val="00C72211"/>
    <w:rsid w:val="00C87E34"/>
    <w:rsid w:val="00CA5F6D"/>
    <w:rsid w:val="00CB3AE2"/>
    <w:rsid w:val="00CC1DAE"/>
    <w:rsid w:val="00CD3577"/>
    <w:rsid w:val="00CE2257"/>
    <w:rsid w:val="00CF608F"/>
    <w:rsid w:val="00D0527E"/>
    <w:rsid w:val="00D14A93"/>
    <w:rsid w:val="00D16FAD"/>
    <w:rsid w:val="00D229A4"/>
    <w:rsid w:val="00D2546D"/>
    <w:rsid w:val="00D366F1"/>
    <w:rsid w:val="00D50A01"/>
    <w:rsid w:val="00D662A0"/>
    <w:rsid w:val="00D66330"/>
    <w:rsid w:val="00D850A8"/>
    <w:rsid w:val="00DA2E9D"/>
    <w:rsid w:val="00DB3364"/>
    <w:rsid w:val="00DC479D"/>
    <w:rsid w:val="00DE2C2F"/>
    <w:rsid w:val="00DE4946"/>
    <w:rsid w:val="00E26300"/>
    <w:rsid w:val="00E43EDC"/>
    <w:rsid w:val="00E56471"/>
    <w:rsid w:val="00E62A2A"/>
    <w:rsid w:val="00E641CF"/>
    <w:rsid w:val="00E660C5"/>
    <w:rsid w:val="00E715F5"/>
    <w:rsid w:val="00E91106"/>
    <w:rsid w:val="00E96A9C"/>
    <w:rsid w:val="00E97589"/>
    <w:rsid w:val="00EA3148"/>
    <w:rsid w:val="00ED317B"/>
    <w:rsid w:val="00ED48FC"/>
    <w:rsid w:val="00EE154F"/>
    <w:rsid w:val="00F01953"/>
    <w:rsid w:val="00F30BE2"/>
    <w:rsid w:val="00F35C94"/>
    <w:rsid w:val="00F52583"/>
    <w:rsid w:val="00F56C45"/>
    <w:rsid w:val="00F60FD6"/>
    <w:rsid w:val="00F85C4C"/>
    <w:rsid w:val="00F9270D"/>
    <w:rsid w:val="00FA356A"/>
    <w:rsid w:val="00FA7029"/>
    <w:rsid w:val="00FE478C"/>
    <w:rsid w:val="3D317F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FC6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after="200" w:line="276" w:lineRule="auto"/>
    </w:pPr>
    <w:rPr>
      <w:color w:val="000000"/>
      <w:sz w:val="22"/>
      <w:szCs w:val="22"/>
      <w:lang w:val="en-US" w:eastAsia="en-US"/>
    </w:rPr>
  </w:style>
  <w:style w:type="paragraph" w:styleId="Heading1">
    <w:name w:val="heading 1"/>
    <w:basedOn w:val="Normal"/>
    <w:next w:val="Normal"/>
    <w:pPr>
      <w:spacing w:before="240"/>
      <w:outlineLvl w:val="0"/>
    </w:pPr>
    <w:rPr>
      <w:rFonts w:ascii="Arial" w:eastAsia="Arial" w:hAnsi="Arial" w:cs="Arial"/>
      <w:b/>
      <w:u w:val="single"/>
    </w:rPr>
  </w:style>
  <w:style w:type="paragraph" w:styleId="Heading2">
    <w:name w:val="heading 2"/>
    <w:basedOn w:val="Normal"/>
    <w:next w:val="Normal"/>
    <w:pPr>
      <w:spacing w:before="120"/>
      <w:outlineLvl w:val="1"/>
    </w:pPr>
    <w:rPr>
      <w:rFonts w:ascii="Arial" w:eastAsia="Arial" w:hAnsi="Arial" w:cs="Arial"/>
      <w:b/>
    </w:rPr>
  </w:style>
  <w:style w:type="paragraph" w:styleId="Heading3">
    <w:name w:val="heading 3"/>
    <w:basedOn w:val="Normal"/>
    <w:next w:val="Normal"/>
    <w:pPr>
      <w:ind w:left="360"/>
      <w:outlineLvl w:val="2"/>
    </w:pPr>
    <w:rPr>
      <w:b/>
    </w:rPr>
  </w:style>
  <w:style w:type="paragraph" w:styleId="Heading4">
    <w:name w:val="heading 4"/>
    <w:basedOn w:val="Normal"/>
    <w:next w:val="Normal"/>
    <w:pPr>
      <w:keepNext/>
      <w:keepLines/>
      <w:spacing w:before="240"/>
      <w:ind w:left="907" w:hanging="907"/>
      <w:outlineLvl w:val="3"/>
    </w:pPr>
    <w:rPr>
      <w:rFonts w:ascii="Arial" w:eastAsia="Arial" w:hAnsi="Arial" w:cs="Arial"/>
      <w:b/>
    </w:rPr>
  </w:style>
  <w:style w:type="paragraph" w:styleId="Heading5">
    <w:name w:val="heading 5"/>
    <w:basedOn w:val="Normal"/>
    <w:next w:val="Normal"/>
    <w:pPr>
      <w:ind w:left="706"/>
      <w:outlineLvl w:val="4"/>
    </w:pPr>
    <w:rPr>
      <w:b/>
    </w:rPr>
  </w:style>
  <w:style w:type="paragraph" w:styleId="Heading6">
    <w:name w:val="heading 6"/>
    <w:basedOn w:val="Normal"/>
    <w:next w:val="Normal"/>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color w:val="auto"/>
      <w:sz w:val="24"/>
      <w:szCs w:val="24"/>
      <w:lang w:val="zh-CN"/>
    </w:rPr>
  </w:style>
  <w:style w:type="character" w:styleId="Strong">
    <w:name w:val="Strong"/>
    <w:uiPriority w:val="22"/>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keepNext/>
      <w:keepLines/>
      <w:spacing w:before="480" w:after="120"/>
    </w:pPr>
    <w:rPr>
      <w:b/>
      <w:sz w:val="72"/>
      <w:szCs w:val="7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MDPI13authornames">
    <w:name w:val="MDPI_1.3_authornames"/>
    <w:basedOn w:val="Normal"/>
    <w:next w:val="MDPI14history"/>
    <w:qFormat/>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pPr>
      <w:adjustRightInd w:val="0"/>
      <w:snapToGrid w:val="0"/>
      <w:spacing w:after="240" w:line="400" w:lineRule="exact"/>
    </w:pPr>
    <w:rPr>
      <w:rFonts w:ascii="Palatino Linotype" w:eastAsia="Times New Roman" w:hAnsi="Palatino Linotype" w:cs="Times New Roman"/>
      <w:b/>
      <w:snapToGrid w:val="0"/>
      <w:sz w:val="36"/>
      <w:lang w:val="en-US" w:eastAsia="de-DE" w:bidi="en-US"/>
    </w:rPr>
  </w:style>
  <w:style w:type="character" w:customStyle="1" w:styleId="UnresolvedMention1">
    <w:name w:val="Unresolved Mention1"/>
    <w:basedOn w:val="DefaultParagraphFont"/>
    <w:uiPriority w:val="99"/>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styleId="PlaceholderText">
    <w:name w:val="Placeholder Text"/>
    <w:basedOn w:val="DefaultParagraphFont"/>
    <w:uiPriority w:val="99"/>
    <w:semiHidden/>
    <w:rPr>
      <w:color w:val="808080"/>
    </w:r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styleId="NoSpacing">
    <w:name w:val="No Spacing"/>
    <w:uiPriority w:val="1"/>
    <w:qFormat/>
    <w:rPr>
      <w:rFonts w:asciiTheme="minorHAnsi" w:eastAsiaTheme="minorHAnsi" w:hAnsiTheme="minorHAnsi" w:cstheme="minorBidi"/>
      <w:sz w:val="22"/>
      <w:szCs w:val="22"/>
      <w:lang w:val="en-US" w:eastAsia="en-US"/>
    </w:rPr>
  </w:style>
  <w:style w:type="character" w:customStyle="1" w:styleId="A0">
    <w:name w:val="A0"/>
    <w:uiPriority w:val="99"/>
    <w:rPr>
      <w:color w:val="000000"/>
    </w:rPr>
  </w:style>
  <w:style w:type="character" w:customStyle="1" w:styleId="a">
    <w:name w:val="a"/>
    <w:basedOn w:val="DefaultParagraphFont"/>
  </w:style>
  <w:style w:type="character" w:customStyle="1" w:styleId="ListParagraphChar">
    <w:name w:val="List Paragraph Char"/>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D1554D-3E67-4A04-9659-DD685C61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7947</Words>
  <Characters>45304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2023-05-29T13:50:00Z</dcterms:created>
  <dcterms:modified xsi:type="dcterms:W3CDTF">2023-05-29T13:50:00Z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DBC2C894FFD54825B8E9596941F38061</vt:lpwstr>
  </property>
</Properties>
</file>