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10B0BAC" w14:textId="37A8710F" w:rsidR="00B550B8" w:rsidRPr="009B285E" w:rsidRDefault="009B285E" w:rsidP="00326AF6">
      <w:pPr>
        <w:jc w:val="center"/>
        <w:rPr>
          <w:b/>
          <w:sz w:val="28"/>
          <w:szCs w:val="28"/>
          <w:lang w:val="en-US"/>
        </w:rPr>
      </w:pPr>
      <w:r w:rsidRPr="009B285E">
        <w:rPr>
          <w:b/>
          <w:sz w:val="28"/>
          <w:szCs w:val="28"/>
          <w:lang w:val="en-US"/>
        </w:rPr>
        <w:t>KORESPONDENSI ARTIKEL</w:t>
      </w:r>
    </w:p>
    <w:p w14:paraId="354A76A4" w14:textId="77777777" w:rsidR="009B285E" w:rsidRDefault="009B285E" w:rsidP="00326AF6">
      <w:pPr>
        <w:jc w:val="center"/>
        <w:rPr>
          <w:lang w:val="en-US"/>
        </w:rPr>
      </w:pPr>
    </w:p>
    <w:p w14:paraId="0A3CDEF7" w14:textId="77777777" w:rsidR="009B285E" w:rsidRDefault="009B285E" w:rsidP="009B285E">
      <w:pPr>
        <w:rPr>
          <w:rFonts w:ascii="Segoe UI" w:eastAsia="Times New Roman" w:hAnsi="Segoe UI" w:cs="Segoe UI"/>
          <w:color w:val="000000"/>
          <w:shd w:val="clear" w:color="auto" w:fill="CDF0CC"/>
        </w:rPr>
      </w:pPr>
      <w:r w:rsidRPr="009B285E">
        <w:rPr>
          <w:rFonts w:ascii="Segoe UI" w:eastAsia="Times New Roman" w:hAnsi="Segoe UI" w:cs="Segoe UI"/>
          <w:color w:val="000000"/>
          <w:shd w:val="clear" w:color="auto" w:fill="CDF0CC"/>
        </w:rPr>
        <w:t xml:space="preserve">A Comparative Study Between Islamic and Public High Schools on Multicultural Self-Efficacy, </w:t>
      </w:r>
    </w:p>
    <w:p w14:paraId="78D36DDD" w14:textId="77777777" w:rsidR="009B285E" w:rsidRDefault="009B285E" w:rsidP="009B285E">
      <w:pPr>
        <w:rPr>
          <w:rFonts w:ascii="Segoe UI" w:eastAsia="Times New Roman" w:hAnsi="Segoe UI" w:cs="Segoe UI"/>
          <w:color w:val="000000"/>
          <w:shd w:val="clear" w:color="auto" w:fill="CDF0CC"/>
        </w:rPr>
      </w:pPr>
      <w:proofErr w:type="spellStart"/>
      <w:r w:rsidRPr="009B285E">
        <w:rPr>
          <w:rFonts w:ascii="Segoe UI" w:eastAsia="Times New Roman" w:hAnsi="Segoe UI" w:cs="Segoe UI"/>
          <w:color w:val="000000"/>
          <w:shd w:val="clear" w:color="auto" w:fill="CDF0CC"/>
        </w:rPr>
        <w:t>Penulis</w:t>
      </w:r>
      <w:proofErr w:type="spellEnd"/>
      <w:r w:rsidRPr="009B285E">
        <w:rPr>
          <w:rFonts w:ascii="Segoe UI" w:eastAsia="Times New Roman" w:hAnsi="Segoe UI" w:cs="Segoe UI"/>
          <w:color w:val="000000"/>
          <w:shd w:val="clear" w:color="auto" w:fill="CDF0CC"/>
        </w:rPr>
        <w:t xml:space="preserve">: Yosef Y., </w:t>
      </w:r>
    </w:p>
    <w:p w14:paraId="1980C2BF" w14:textId="77777777" w:rsidR="009B285E" w:rsidRDefault="009B285E" w:rsidP="009B285E">
      <w:pPr>
        <w:rPr>
          <w:rFonts w:ascii="Segoe UI" w:eastAsia="Times New Roman" w:hAnsi="Segoe UI" w:cs="Segoe UI"/>
          <w:color w:val="000000"/>
          <w:shd w:val="clear" w:color="auto" w:fill="CDF0CC"/>
        </w:rPr>
      </w:pPr>
      <w:r w:rsidRPr="009B285E">
        <w:rPr>
          <w:rFonts w:ascii="Segoe UI" w:eastAsia="Times New Roman" w:hAnsi="Segoe UI" w:cs="Segoe UI"/>
          <w:color w:val="000000"/>
          <w:shd w:val="clear" w:color="auto" w:fill="CDF0CC"/>
        </w:rPr>
        <w:t xml:space="preserve">Nama </w:t>
      </w:r>
      <w:proofErr w:type="spellStart"/>
      <w:r w:rsidRPr="009B285E">
        <w:rPr>
          <w:rFonts w:ascii="Segoe UI" w:eastAsia="Times New Roman" w:hAnsi="Segoe UI" w:cs="Segoe UI"/>
          <w:color w:val="000000"/>
          <w:shd w:val="clear" w:color="auto" w:fill="CDF0CC"/>
        </w:rPr>
        <w:t>Jurnal</w:t>
      </w:r>
      <w:proofErr w:type="spellEnd"/>
      <w:r w:rsidRPr="009B285E">
        <w:rPr>
          <w:rFonts w:ascii="Segoe UI" w:eastAsia="Times New Roman" w:hAnsi="Segoe UI" w:cs="Segoe UI"/>
          <w:color w:val="000000"/>
          <w:shd w:val="clear" w:color="auto" w:fill="CDF0CC"/>
        </w:rPr>
        <w:t xml:space="preserve">: Islamic Guidance and Counseling Journal, </w:t>
      </w:r>
    </w:p>
    <w:p w14:paraId="70D41341" w14:textId="77777777" w:rsidR="009B285E" w:rsidRDefault="009B285E" w:rsidP="009B285E">
      <w:pPr>
        <w:rPr>
          <w:rFonts w:ascii="Segoe UI" w:eastAsia="Times New Roman" w:hAnsi="Segoe UI" w:cs="Segoe UI"/>
          <w:color w:val="000000"/>
          <w:shd w:val="clear" w:color="auto" w:fill="CDF0CC"/>
        </w:rPr>
      </w:pPr>
      <w:r w:rsidRPr="009B285E">
        <w:rPr>
          <w:rFonts w:ascii="Segoe UI" w:eastAsia="Times New Roman" w:hAnsi="Segoe UI" w:cs="Segoe UI"/>
          <w:color w:val="000000"/>
          <w:shd w:val="clear" w:color="auto" w:fill="CDF0CC"/>
        </w:rPr>
        <w:t xml:space="preserve">Volume </w:t>
      </w:r>
      <w:proofErr w:type="spellStart"/>
      <w:r w:rsidRPr="009B285E">
        <w:rPr>
          <w:rFonts w:ascii="Segoe UI" w:eastAsia="Times New Roman" w:hAnsi="Segoe UI" w:cs="Segoe UI"/>
          <w:color w:val="000000"/>
          <w:shd w:val="clear" w:color="auto" w:fill="CDF0CC"/>
        </w:rPr>
        <w:t>Jurnal</w:t>
      </w:r>
      <w:proofErr w:type="spellEnd"/>
      <w:r w:rsidRPr="009B285E">
        <w:rPr>
          <w:rFonts w:ascii="Segoe UI" w:eastAsia="Times New Roman" w:hAnsi="Segoe UI" w:cs="Segoe UI"/>
          <w:color w:val="000000"/>
          <w:shd w:val="clear" w:color="auto" w:fill="CDF0CC"/>
        </w:rPr>
        <w:t xml:space="preserve">: 5, </w:t>
      </w:r>
      <w:proofErr w:type="spellStart"/>
      <w:r w:rsidRPr="009B285E">
        <w:rPr>
          <w:rFonts w:ascii="Segoe UI" w:eastAsia="Times New Roman" w:hAnsi="Segoe UI" w:cs="Segoe UI"/>
          <w:color w:val="000000"/>
          <w:shd w:val="clear" w:color="auto" w:fill="CDF0CC"/>
        </w:rPr>
        <w:t>Nomor</w:t>
      </w:r>
      <w:proofErr w:type="spellEnd"/>
      <w:r w:rsidRPr="009B285E">
        <w:rPr>
          <w:rFonts w:ascii="Segoe UI" w:eastAsia="Times New Roman" w:hAnsi="Segoe UI" w:cs="Segoe UI"/>
          <w:color w:val="000000"/>
          <w:shd w:val="clear" w:color="auto" w:fill="CDF0CC"/>
        </w:rPr>
        <w:t xml:space="preserve"> </w:t>
      </w:r>
      <w:proofErr w:type="spellStart"/>
      <w:r w:rsidRPr="009B285E">
        <w:rPr>
          <w:rFonts w:ascii="Segoe UI" w:eastAsia="Times New Roman" w:hAnsi="Segoe UI" w:cs="Segoe UI"/>
          <w:color w:val="000000"/>
          <w:shd w:val="clear" w:color="auto" w:fill="CDF0CC"/>
        </w:rPr>
        <w:t>Jurnal</w:t>
      </w:r>
      <w:proofErr w:type="spellEnd"/>
      <w:r w:rsidRPr="009B285E">
        <w:rPr>
          <w:rFonts w:ascii="Segoe UI" w:eastAsia="Times New Roman" w:hAnsi="Segoe UI" w:cs="Segoe UI"/>
          <w:color w:val="000000"/>
          <w:shd w:val="clear" w:color="auto" w:fill="CDF0CC"/>
        </w:rPr>
        <w:t xml:space="preserve">: 1, </w:t>
      </w:r>
    </w:p>
    <w:p w14:paraId="24FE9A98" w14:textId="77777777" w:rsidR="009B285E" w:rsidRDefault="009B285E" w:rsidP="009B285E">
      <w:pPr>
        <w:rPr>
          <w:rFonts w:ascii="Segoe UI" w:eastAsia="Times New Roman" w:hAnsi="Segoe UI" w:cs="Segoe UI"/>
          <w:color w:val="000000"/>
          <w:shd w:val="clear" w:color="auto" w:fill="CDF0CC"/>
        </w:rPr>
      </w:pPr>
      <w:proofErr w:type="spellStart"/>
      <w:r w:rsidRPr="009B285E">
        <w:rPr>
          <w:rFonts w:ascii="Segoe UI" w:eastAsia="Times New Roman" w:hAnsi="Segoe UI" w:cs="Segoe UI"/>
          <w:color w:val="000000"/>
          <w:shd w:val="clear" w:color="auto" w:fill="CDF0CC"/>
        </w:rPr>
        <w:t>Tahun</w:t>
      </w:r>
      <w:proofErr w:type="spellEnd"/>
      <w:r w:rsidRPr="009B285E">
        <w:rPr>
          <w:rFonts w:ascii="Segoe UI" w:eastAsia="Times New Roman" w:hAnsi="Segoe UI" w:cs="Segoe UI"/>
          <w:color w:val="000000"/>
          <w:shd w:val="clear" w:color="auto" w:fill="CDF0CC"/>
        </w:rPr>
        <w:t xml:space="preserve"> </w:t>
      </w:r>
      <w:proofErr w:type="spellStart"/>
      <w:r w:rsidRPr="009B285E">
        <w:rPr>
          <w:rFonts w:ascii="Segoe UI" w:eastAsia="Times New Roman" w:hAnsi="Segoe UI" w:cs="Segoe UI"/>
          <w:color w:val="000000"/>
          <w:shd w:val="clear" w:color="auto" w:fill="CDF0CC"/>
        </w:rPr>
        <w:t>Terbit</w:t>
      </w:r>
      <w:proofErr w:type="spellEnd"/>
      <w:r w:rsidRPr="009B285E">
        <w:rPr>
          <w:rFonts w:ascii="Segoe UI" w:eastAsia="Times New Roman" w:hAnsi="Segoe UI" w:cs="Segoe UI"/>
          <w:color w:val="000000"/>
          <w:shd w:val="clear" w:color="auto" w:fill="CDF0CC"/>
        </w:rPr>
        <w:t xml:space="preserve"> </w:t>
      </w:r>
      <w:proofErr w:type="spellStart"/>
      <w:r w:rsidRPr="009B285E">
        <w:rPr>
          <w:rFonts w:ascii="Segoe UI" w:eastAsia="Times New Roman" w:hAnsi="Segoe UI" w:cs="Segoe UI"/>
          <w:color w:val="000000"/>
          <w:shd w:val="clear" w:color="auto" w:fill="CDF0CC"/>
        </w:rPr>
        <w:t>Jurnal</w:t>
      </w:r>
      <w:proofErr w:type="spellEnd"/>
      <w:r w:rsidRPr="009B285E">
        <w:rPr>
          <w:rFonts w:ascii="Segoe UI" w:eastAsia="Times New Roman" w:hAnsi="Segoe UI" w:cs="Segoe UI"/>
          <w:color w:val="000000"/>
          <w:shd w:val="clear" w:color="auto" w:fill="CDF0CC"/>
        </w:rPr>
        <w:t xml:space="preserve">: 2022, </w:t>
      </w:r>
      <w:proofErr w:type="spellStart"/>
      <w:r w:rsidRPr="009B285E">
        <w:rPr>
          <w:rFonts w:ascii="Segoe UI" w:eastAsia="Times New Roman" w:hAnsi="Segoe UI" w:cs="Segoe UI"/>
          <w:color w:val="000000"/>
          <w:shd w:val="clear" w:color="auto" w:fill="CDF0CC"/>
        </w:rPr>
        <w:t>Halaman</w:t>
      </w:r>
      <w:proofErr w:type="spellEnd"/>
      <w:r w:rsidRPr="009B285E">
        <w:rPr>
          <w:rFonts w:ascii="Segoe UI" w:eastAsia="Times New Roman" w:hAnsi="Segoe UI" w:cs="Segoe UI"/>
          <w:color w:val="000000"/>
          <w:shd w:val="clear" w:color="auto" w:fill="CDF0CC"/>
        </w:rPr>
        <w:t xml:space="preserve">: 56-70, </w:t>
      </w:r>
    </w:p>
    <w:p w14:paraId="25BF8ED4" w14:textId="77777777" w:rsidR="009B285E" w:rsidRDefault="009B285E" w:rsidP="009B285E">
      <w:pPr>
        <w:rPr>
          <w:rFonts w:ascii="Segoe UI" w:eastAsia="Times New Roman" w:hAnsi="Segoe UI" w:cs="Segoe UI"/>
          <w:color w:val="000000"/>
          <w:shd w:val="clear" w:color="auto" w:fill="CDF0CC"/>
        </w:rPr>
      </w:pPr>
      <w:r w:rsidRPr="009B285E">
        <w:rPr>
          <w:rFonts w:ascii="Segoe UI" w:eastAsia="Times New Roman" w:hAnsi="Segoe UI" w:cs="Segoe UI"/>
          <w:color w:val="000000"/>
          <w:shd w:val="clear" w:color="auto" w:fill="CDF0CC"/>
        </w:rPr>
        <w:t xml:space="preserve">ISSN: 26855909, </w:t>
      </w:r>
    </w:p>
    <w:p w14:paraId="17C94D20" w14:textId="77777777" w:rsidR="009B285E" w:rsidRDefault="009B285E" w:rsidP="009B285E">
      <w:pPr>
        <w:rPr>
          <w:rFonts w:ascii="Segoe UI" w:eastAsia="Times New Roman" w:hAnsi="Segoe UI" w:cs="Segoe UI"/>
          <w:color w:val="000000"/>
          <w:shd w:val="clear" w:color="auto" w:fill="CDF0CC"/>
        </w:rPr>
      </w:pPr>
      <w:proofErr w:type="spellStart"/>
      <w:r w:rsidRPr="009B285E">
        <w:rPr>
          <w:rFonts w:ascii="Segoe UI" w:eastAsia="Times New Roman" w:hAnsi="Segoe UI" w:cs="Segoe UI"/>
          <w:color w:val="000000"/>
          <w:shd w:val="clear" w:color="auto" w:fill="CDF0CC"/>
        </w:rPr>
        <w:t>Penerbit</w:t>
      </w:r>
      <w:proofErr w:type="spellEnd"/>
      <w:r w:rsidRPr="009B285E">
        <w:rPr>
          <w:rFonts w:ascii="Segoe UI" w:eastAsia="Times New Roman" w:hAnsi="Segoe UI" w:cs="Segoe UI"/>
          <w:color w:val="000000"/>
          <w:shd w:val="clear" w:color="auto" w:fill="CDF0CC"/>
        </w:rPr>
        <w:t xml:space="preserve">: </w:t>
      </w:r>
      <w:proofErr w:type="spellStart"/>
      <w:r w:rsidRPr="009B285E">
        <w:rPr>
          <w:rFonts w:ascii="Segoe UI" w:eastAsia="Times New Roman" w:hAnsi="Segoe UI" w:cs="Segoe UI"/>
          <w:color w:val="000000"/>
          <w:shd w:val="clear" w:color="auto" w:fill="CDF0CC"/>
        </w:rPr>
        <w:t>Institut</w:t>
      </w:r>
      <w:proofErr w:type="spellEnd"/>
      <w:r w:rsidRPr="009B285E">
        <w:rPr>
          <w:rFonts w:ascii="Segoe UI" w:eastAsia="Times New Roman" w:hAnsi="Segoe UI" w:cs="Segoe UI"/>
          <w:color w:val="000000"/>
          <w:shd w:val="clear" w:color="auto" w:fill="CDF0CC"/>
        </w:rPr>
        <w:t xml:space="preserve"> Agama Islam </w:t>
      </w:r>
      <w:proofErr w:type="spellStart"/>
      <w:r w:rsidRPr="009B285E">
        <w:rPr>
          <w:rFonts w:ascii="Segoe UI" w:eastAsia="Times New Roman" w:hAnsi="Segoe UI" w:cs="Segoe UI"/>
          <w:color w:val="000000"/>
          <w:shd w:val="clear" w:color="auto" w:fill="CDF0CC"/>
        </w:rPr>
        <w:t>Ma'arif</w:t>
      </w:r>
      <w:proofErr w:type="spellEnd"/>
      <w:r w:rsidRPr="009B285E">
        <w:rPr>
          <w:rFonts w:ascii="Segoe UI" w:eastAsia="Times New Roman" w:hAnsi="Segoe UI" w:cs="Segoe UI"/>
          <w:color w:val="000000"/>
          <w:shd w:val="clear" w:color="auto" w:fill="CDF0CC"/>
        </w:rPr>
        <w:t xml:space="preserve"> NU (IAIMNU) Metro Lampung, </w:t>
      </w:r>
    </w:p>
    <w:p w14:paraId="750132D5" w14:textId="40D71EE7" w:rsidR="009B285E" w:rsidRPr="009B285E" w:rsidRDefault="009B285E" w:rsidP="009B285E">
      <w:pPr>
        <w:rPr>
          <w:rFonts w:ascii="Times New Roman" w:eastAsia="Times New Roman" w:hAnsi="Times New Roman" w:cs="Times New Roman"/>
        </w:rPr>
      </w:pPr>
      <w:r w:rsidRPr="009B285E">
        <w:rPr>
          <w:rFonts w:ascii="Segoe UI" w:eastAsia="Times New Roman" w:hAnsi="Segoe UI" w:cs="Segoe UI"/>
          <w:color w:val="000000"/>
          <w:shd w:val="clear" w:color="auto" w:fill="CDF0CC"/>
        </w:rPr>
        <w:t>DOI: https://doi.org/10.25217/igcj.v5i1.2591, SJR: 0.220</w:t>
      </w:r>
    </w:p>
    <w:p w14:paraId="3C20520B" w14:textId="77777777" w:rsidR="009B285E" w:rsidRDefault="009B285E" w:rsidP="00326AF6">
      <w:pPr>
        <w:jc w:val="center"/>
        <w:rPr>
          <w:lang w:val="en-US"/>
        </w:rPr>
      </w:pPr>
    </w:p>
    <w:p w14:paraId="0C74E104" w14:textId="77777777" w:rsidR="00326AF6" w:rsidRDefault="00326AF6" w:rsidP="002953E1">
      <w:pPr>
        <w:rPr>
          <w:lang w:val="en-US"/>
        </w:rPr>
      </w:pPr>
    </w:p>
    <w:p w14:paraId="6A3743D9" w14:textId="03654D59" w:rsidR="0039271E" w:rsidRDefault="0039271E" w:rsidP="0039271E">
      <w:pPr>
        <w:ind w:firstLine="720"/>
        <w:rPr>
          <w:lang w:val="en-US"/>
        </w:rPr>
      </w:pPr>
      <w:r w:rsidRPr="0039271E">
        <w:rPr>
          <w:lang w:val="en-US"/>
        </w:rPr>
        <w:lastRenderedPageBreak/>
        <w:drawing>
          <wp:inline distT="0" distB="0" distL="0" distR="0" wp14:anchorId="6054FB77" wp14:editId="0FF8B012">
            <wp:extent cx="5727700" cy="611949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27700" cy="6119495"/>
                    </a:xfrm>
                    <a:prstGeom prst="rect">
                      <a:avLst/>
                    </a:prstGeom>
                  </pic:spPr>
                </pic:pic>
              </a:graphicData>
            </a:graphic>
          </wp:inline>
        </w:drawing>
      </w:r>
    </w:p>
    <w:p w14:paraId="69756ADB" w14:textId="2DF0EC6C" w:rsidR="0039271E" w:rsidRDefault="0039271E" w:rsidP="002953E1">
      <w:pPr>
        <w:rPr>
          <w:lang w:val="en-US"/>
        </w:rPr>
      </w:pPr>
      <w:r w:rsidRPr="0039271E">
        <w:rPr>
          <w:lang w:val="en-US"/>
        </w:rPr>
        <w:lastRenderedPageBreak/>
        <w:drawing>
          <wp:inline distT="0" distB="0" distL="0" distR="0" wp14:anchorId="0EAAB99D" wp14:editId="4CC920D4">
            <wp:extent cx="5727700" cy="5457825"/>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27700" cy="5457825"/>
                    </a:xfrm>
                    <a:prstGeom prst="rect">
                      <a:avLst/>
                    </a:prstGeom>
                  </pic:spPr>
                </pic:pic>
              </a:graphicData>
            </a:graphic>
          </wp:inline>
        </w:drawing>
      </w:r>
    </w:p>
    <w:p w14:paraId="3D2D6885" w14:textId="120F7A34" w:rsidR="0039271E" w:rsidRDefault="0039271E" w:rsidP="002953E1">
      <w:pPr>
        <w:rPr>
          <w:lang w:val="en-US"/>
        </w:rPr>
      </w:pPr>
    </w:p>
    <w:p w14:paraId="76CFE618" w14:textId="275A142B" w:rsidR="0039271E" w:rsidRDefault="0039271E" w:rsidP="002953E1">
      <w:pPr>
        <w:rPr>
          <w:lang w:val="en-US"/>
        </w:rPr>
      </w:pPr>
      <w:r w:rsidRPr="0039271E">
        <w:rPr>
          <w:lang w:val="en-US"/>
        </w:rPr>
        <w:lastRenderedPageBreak/>
        <w:drawing>
          <wp:inline distT="0" distB="0" distL="0" distR="0" wp14:anchorId="45C487AB" wp14:editId="33EE69A9">
            <wp:extent cx="5727700" cy="611759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27700" cy="6117590"/>
                    </a:xfrm>
                    <a:prstGeom prst="rect">
                      <a:avLst/>
                    </a:prstGeom>
                  </pic:spPr>
                </pic:pic>
              </a:graphicData>
            </a:graphic>
          </wp:inline>
        </w:drawing>
      </w:r>
    </w:p>
    <w:p w14:paraId="43BA80F9" w14:textId="6A628ABD" w:rsidR="0039271E" w:rsidRDefault="0039271E" w:rsidP="002953E1">
      <w:pPr>
        <w:rPr>
          <w:lang w:val="en-US"/>
        </w:rPr>
      </w:pPr>
      <w:r w:rsidRPr="0039271E">
        <w:rPr>
          <w:lang w:val="en-US"/>
        </w:rPr>
        <w:lastRenderedPageBreak/>
        <w:drawing>
          <wp:inline distT="0" distB="0" distL="0" distR="0" wp14:anchorId="61717490" wp14:editId="7B9644A5">
            <wp:extent cx="5727700" cy="515810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27700" cy="5158105"/>
                    </a:xfrm>
                    <a:prstGeom prst="rect">
                      <a:avLst/>
                    </a:prstGeom>
                  </pic:spPr>
                </pic:pic>
              </a:graphicData>
            </a:graphic>
          </wp:inline>
        </w:drawing>
      </w:r>
    </w:p>
    <w:p w14:paraId="405E495C" w14:textId="7C312BEE" w:rsidR="0039271E" w:rsidRDefault="0039271E" w:rsidP="002953E1">
      <w:pPr>
        <w:rPr>
          <w:lang w:val="en-US"/>
        </w:rPr>
      </w:pPr>
    </w:p>
    <w:p w14:paraId="056F3DAE" w14:textId="73AC787A" w:rsidR="0039271E" w:rsidRDefault="0039271E" w:rsidP="002953E1">
      <w:pPr>
        <w:rPr>
          <w:lang w:val="en-US"/>
        </w:rPr>
      </w:pPr>
      <w:r w:rsidRPr="0039271E">
        <w:rPr>
          <w:lang w:val="en-US"/>
        </w:rPr>
        <w:lastRenderedPageBreak/>
        <w:drawing>
          <wp:inline distT="0" distB="0" distL="0" distR="0" wp14:anchorId="3A96D9C8" wp14:editId="3C581F17">
            <wp:extent cx="5727700" cy="492061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27700" cy="4920615"/>
                    </a:xfrm>
                    <a:prstGeom prst="rect">
                      <a:avLst/>
                    </a:prstGeom>
                  </pic:spPr>
                </pic:pic>
              </a:graphicData>
            </a:graphic>
          </wp:inline>
        </w:drawing>
      </w:r>
    </w:p>
    <w:p w14:paraId="1F6E96B8" w14:textId="0BF69FA0" w:rsidR="0039271E" w:rsidRDefault="0039271E" w:rsidP="002953E1">
      <w:pPr>
        <w:rPr>
          <w:lang w:val="en-US"/>
        </w:rPr>
      </w:pPr>
      <w:r w:rsidRPr="0039271E">
        <w:rPr>
          <w:lang w:val="en-US"/>
        </w:rPr>
        <w:lastRenderedPageBreak/>
        <w:drawing>
          <wp:inline distT="0" distB="0" distL="0" distR="0" wp14:anchorId="6FCF20AE" wp14:editId="3A4A990F">
            <wp:extent cx="5727700" cy="4962525"/>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27700" cy="4962525"/>
                    </a:xfrm>
                    <a:prstGeom prst="rect">
                      <a:avLst/>
                    </a:prstGeom>
                  </pic:spPr>
                </pic:pic>
              </a:graphicData>
            </a:graphic>
          </wp:inline>
        </w:drawing>
      </w:r>
      <w:r w:rsidRPr="0039271E">
        <w:rPr>
          <w:lang w:val="en-US"/>
        </w:rPr>
        <w:lastRenderedPageBreak/>
        <w:drawing>
          <wp:inline distT="0" distB="0" distL="0" distR="0" wp14:anchorId="0F567A58" wp14:editId="1B219065">
            <wp:extent cx="5727700" cy="5092065"/>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27700" cy="5092065"/>
                    </a:xfrm>
                    <a:prstGeom prst="rect">
                      <a:avLst/>
                    </a:prstGeom>
                  </pic:spPr>
                </pic:pic>
              </a:graphicData>
            </a:graphic>
          </wp:inline>
        </w:drawing>
      </w:r>
    </w:p>
    <w:p w14:paraId="49C73673" w14:textId="287E1F51" w:rsidR="0039271E" w:rsidRDefault="0039271E" w:rsidP="002953E1">
      <w:pPr>
        <w:rPr>
          <w:lang w:val="en-US"/>
        </w:rPr>
      </w:pPr>
      <w:r w:rsidRPr="0039271E">
        <w:rPr>
          <w:lang w:val="en-US"/>
        </w:rPr>
        <w:lastRenderedPageBreak/>
        <w:drawing>
          <wp:inline distT="0" distB="0" distL="0" distR="0" wp14:anchorId="09843ED8" wp14:editId="27B82634">
            <wp:extent cx="5727700" cy="6052185"/>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27700" cy="6052185"/>
                    </a:xfrm>
                    <a:prstGeom prst="rect">
                      <a:avLst/>
                    </a:prstGeom>
                  </pic:spPr>
                </pic:pic>
              </a:graphicData>
            </a:graphic>
          </wp:inline>
        </w:drawing>
      </w:r>
    </w:p>
    <w:p w14:paraId="6BBA4A13" w14:textId="53E0271C" w:rsidR="0039271E" w:rsidRDefault="0039271E" w:rsidP="002953E1">
      <w:pPr>
        <w:rPr>
          <w:lang w:val="en-US"/>
        </w:rPr>
      </w:pPr>
      <w:r w:rsidRPr="0039271E">
        <w:rPr>
          <w:lang w:val="en-US"/>
        </w:rPr>
        <w:lastRenderedPageBreak/>
        <w:drawing>
          <wp:inline distT="0" distB="0" distL="0" distR="0" wp14:anchorId="59493C1B" wp14:editId="66D5A23D">
            <wp:extent cx="5727700" cy="4986020"/>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27700" cy="4986020"/>
                    </a:xfrm>
                    <a:prstGeom prst="rect">
                      <a:avLst/>
                    </a:prstGeom>
                  </pic:spPr>
                </pic:pic>
              </a:graphicData>
            </a:graphic>
          </wp:inline>
        </w:drawing>
      </w:r>
    </w:p>
    <w:p w14:paraId="1DF48C4D" w14:textId="106577E3" w:rsidR="0039271E" w:rsidRDefault="004B334D" w:rsidP="002953E1">
      <w:pPr>
        <w:rPr>
          <w:lang w:val="en-US"/>
        </w:rPr>
      </w:pPr>
      <w:r w:rsidRPr="004B334D">
        <w:rPr>
          <w:lang w:val="en-US"/>
        </w:rPr>
        <w:lastRenderedPageBreak/>
        <w:drawing>
          <wp:inline distT="0" distB="0" distL="0" distR="0" wp14:anchorId="1FB4F81D" wp14:editId="08CD68A9">
            <wp:extent cx="5727700" cy="5051425"/>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27700" cy="5051425"/>
                    </a:xfrm>
                    <a:prstGeom prst="rect">
                      <a:avLst/>
                    </a:prstGeom>
                  </pic:spPr>
                </pic:pic>
              </a:graphicData>
            </a:graphic>
          </wp:inline>
        </w:drawing>
      </w:r>
    </w:p>
    <w:p w14:paraId="1016056D" w14:textId="37DAEBAF" w:rsidR="0039271E" w:rsidRDefault="0039271E" w:rsidP="002953E1">
      <w:pPr>
        <w:rPr>
          <w:lang w:val="en-US"/>
        </w:rPr>
      </w:pPr>
    </w:p>
    <w:p w14:paraId="64905E2E" w14:textId="54B5628D" w:rsidR="0039271E" w:rsidRDefault="004B334D" w:rsidP="002953E1">
      <w:pPr>
        <w:rPr>
          <w:lang w:val="en-US"/>
        </w:rPr>
      </w:pPr>
      <w:r w:rsidRPr="004B334D">
        <w:rPr>
          <w:lang w:val="en-US"/>
        </w:rPr>
        <w:lastRenderedPageBreak/>
        <w:drawing>
          <wp:inline distT="0" distB="0" distL="0" distR="0" wp14:anchorId="4D92A279" wp14:editId="3B7007D0">
            <wp:extent cx="5727700" cy="5051425"/>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27700" cy="5051425"/>
                    </a:xfrm>
                    <a:prstGeom prst="rect">
                      <a:avLst/>
                    </a:prstGeom>
                  </pic:spPr>
                </pic:pic>
              </a:graphicData>
            </a:graphic>
          </wp:inline>
        </w:drawing>
      </w:r>
    </w:p>
    <w:p w14:paraId="5A154623" w14:textId="77777777" w:rsidR="004B334D" w:rsidRPr="00C51CE2" w:rsidRDefault="004B334D" w:rsidP="004B334D">
      <w:pPr>
        <w:jc w:val="center"/>
        <w:rPr>
          <w:rFonts w:cstheme="minorHAnsi"/>
          <w:b/>
          <w:color w:val="000000" w:themeColor="text1"/>
          <w:sz w:val="28"/>
          <w:szCs w:val="28"/>
        </w:rPr>
      </w:pPr>
      <w:commentRangeStart w:id="0"/>
      <w:commentRangeStart w:id="1"/>
      <w:r w:rsidRPr="00C51CE2">
        <w:rPr>
          <w:rFonts w:cstheme="minorHAnsi"/>
          <w:b/>
          <w:color w:val="000000" w:themeColor="text1"/>
          <w:sz w:val="28"/>
          <w:szCs w:val="28"/>
        </w:rPr>
        <w:t>A COMPARATIVE STUDY BETWEEN ISLAMIC AND PUBLIC HIGH SCHOOLS ON MULTICULTURAL SELF-EFFICACY</w:t>
      </w:r>
    </w:p>
    <w:p w14:paraId="7D309756" w14:textId="77777777" w:rsidR="004B334D" w:rsidRPr="00C51CE2" w:rsidRDefault="004B334D" w:rsidP="004B334D">
      <w:pPr>
        <w:jc w:val="center"/>
        <w:rPr>
          <w:b/>
          <w:color w:val="000000" w:themeColor="text1"/>
        </w:rPr>
      </w:pPr>
    </w:p>
    <w:commentRangeEnd w:id="0"/>
    <w:p w14:paraId="4C2AAA4A" w14:textId="77777777" w:rsidR="004B334D" w:rsidRPr="00C51CE2" w:rsidRDefault="004B334D" w:rsidP="004B334D">
      <w:pPr>
        <w:jc w:val="center"/>
        <w:rPr>
          <w:color w:val="000000" w:themeColor="text1"/>
        </w:rPr>
      </w:pPr>
      <w:r w:rsidRPr="00C51CE2">
        <w:rPr>
          <w:color w:val="000000" w:themeColor="text1"/>
        </w:rPr>
        <w:commentReference w:id="0"/>
      </w:r>
      <w:commentRangeEnd w:id="1"/>
      <w:r>
        <w:rPr>
          <w:rStyle w:val="CommentReference"/>
        </w:rPr>
        <w:commentReference w:id="1"/>
      </w:r>
    </w:p>
    <w:p w14:paraId="1BD3B007" w14:textId="77777777" w:rsidR="004B334D" w:rsidRPr="00C51CE2" w:rsidRDefault="004B334D" w:rsidP="004B334D">
      <w:pPr>
        <w:jc w:val="center"/>
        <w:rPr>
          <w:b/>
          <w:i/>
          <w:color w:val="000000" w:themeColor="text1"/>
        </w:rPr>
      </w:pPr>
      <w:commentRangeStart w:id="2"/>
      <w:r w:rsidRPr="00C51CE2">
        <w:rPr>
          <w:b/>
          <w:i/>
          <w:color w:val="000000" w:themeColor="text1"/>
        </w:rPr>
        <w:t>Abstract</w:t>
      </w:r>
      <w:commentRangeEnd w:id="2"/>
      <w:r>
        <w:rPr>
          <w:rStyle w:val="CommentReference"/>
        </w:rPr>
        <w:commentReference w:id="2"/>
      </w:r>
    </w:p>
    <w:p w14:paraId="2314B989" w14:textId="77777777" w:rsidR="004B334D" w:rsidRPr="00C51CE2" w:rsidRDefault="004B334D" w:rsidP="004B334D">
      <w:pPr>
        <w:jc w:val="both"/>
        <w:rPr>
          <w:color w:val="000000" w:themeColor="text1"/>
        </w:rPr>
      </w:pPr>
      <w:r w:rsidRPr="00C51CE2">
        <w:rPr>
          <w:color w:val="000000" w:themeColor="text1"/>
        </w:rPr>
        <w:t xml:space="preserve">Having adequate multicultural self-efficacy enables students to get along, learn, and collaborate confidently and harmoniously with culturally diverse peers in any school setting. However, there is only a small number of research on this matter for the dual types of Indonesian secondary schools. The objective of this study was to compare Islamic and public high school students on multicultural self-efficacy. A 36-item Multicultural Self-Efficacy Scale for High School (MSES-HS) measured the multicultural self-efficacy of 246 Islamic and Public high school students in an online survey. It consisted of cultural insight, communication, cultural value, cultural awareness, and flexibility subscales. Results indicated that most of the students’ multicultural self-efficacy in both schools fell from a moderate to the highest level, except for small numbers at a low and a lower level. As theoretically </w:t>
      </w:r>
      <w:r w:rsidRPr="00C51CE2">
        <w:rPr>
          <w:color w:val="000000" w:themeColor="text1"/>
        </w:rPr>
        <w:lastRenderedPageBreak/>
        <w:t>hypothesized, the current study did not find any significant difference between mean scores according to types of schools, grade level, and gender on each subscale and full scale. Findings suggested expanding it to more samples, schools, ethnicity, and other regions.</w:t>
      </w:r>
    </w:p>
    <w:p w14:paraId="6D1E9110" w14:textId="77777777" w:rsidR="004B334D" w:rsidRPr="00C51CE2" w:rsidRDefault="004B334D" w:rsidP="004B334D">
      <w:pPr>
        <w:jc w:val="both"/>
        <w:rPr>
          <w:color w:val="000000" w:themeColor="text1"/>
        </w:rPr>
      </w:pPr>
      <w:r w:rsidRPr="008929B6">
        <w:rPr>
          <w:b/>
          <w:color w:val="000000" w:themeColor="text1"/>
        </w:rPr>
        <w:t>Keywords:</w:t>
      </w:r>
      <w:r w:rsidRPr="00C51CE2">
        <w:rPr>
          <w:color w:val="000000" w:themeColor="text1"/>
        </w:rPr>
        <w:t xml:space="preserve"> multicultural self-efficacy, Islamic high school, public high school, school counseling</w:t>
      </w:r>
    </w:p>
    <w:p w14:paraId="48AFF9EA" w14:textId="77777777" w:rsidR="004B334D" w:rsidRPr="00C51CE2" w:rsidRDefault="004B334D" w:rsidP="004B334D">
      <w:pPr>
        <w:jc w:val="both"/>
        <w:rPr>
          <w:rFonts w:cstheme="minorHAnsi"/>
          <w:b/>
          <w:color w:val="000000" w:themeColor="text1"/>
        </w:rPr>
      </w:pPr>
    </w:p>
    <w:p w14:paraId="22135D74" w14:textId="77777777" w:rsidR="004B334D" w:rsidRPr="00C51CE2" w:rsidRDefault="004B334D" w:rsidP="004B334D">
      <w:pPr>
        <w:rPr>
          <w:rFonts w:cstheme="minorHAnsi"/>
          <w:b/>
          <w:color w:val="000000" w:themeColor="text1"/>
        </w:rPr>
      </w:pPr>
      <w:commentRangeStart w:id="3"/>
      <w:commentRangeStart w:id="4"/>
      <w:r w:rsidRPr="00C51CE2">
        <w:rPr>
          <w:rFonts w:cstheme="minorHAnsi"/>
          <w:b/>
          <w:color w:val="000000" w:themeColor="text1"/>
        </w:rPr>
        <w:t>INTRODUCTION</w:t>
      </w:r>
      <w:commentRangeEnd w:id="3"/>
      <w:r w:rsidRPr="00C51CE2">
        <w:rPr>
          <w:rStyle w:val="CommentReference"/>
          <w:rFonts w:cstheme="minorHAnsi"/>
          <w:color w:val="000000" w:themeColor="text1"/>
          <w:sz w:val="24"/>
          <w:szCs w:val="24"/>
        </w:rPr>
        <w:commentReference w:id="3"/>
      </w:r>
      <w:commentRangeEnd w:id="4"/>
      <w:r>
        <w:rPr>
          <w:rStyle w:val="CommentReference"/>
        </w:rPr>
        <w:commentReference w:id="4"/>
      </w:r>
    </w:p>
    <w:p w14:paraId="5BF4DDA4" w14:textId="77777777" w:rsidR="004B334D" w:rsidRPr="00C51CE2" w:rsidRDefault="004B334D" w:rsidP="004B334D">
      <w:pPr>
        <w:widowControl w:val="0"/>
        <w:autoSpaceDE w:val="0"/>
        <w:autoSpaceDN w:val="0"/>
        <w:adjustRightInd w:val="0"/>
        <w:jc w:val="both"/>
        <w:rPr>
          <w:color w:val="000000" w:themeColor="text1"/>
        </w:rPr>
      </w:pPr>
      <w:r w:rsidRPr="00C51CE2">
        <w:rPr>
          <w:color w:val="000000" w:themeColor="text1"/>
        </w:rPr>
        <w:t xml:space="preserve">Recently, the attention to multicultural issues has increased along with others, such as religion and politics. Previous studies by some prominent scholars, such as Bogaerts </w:t>
      </w:r>
      <w:r w:rsidRPr="00C51CE2">
        <w:rPr>
          <w:color w:val="000000" w:themeColor="text1"/>
        </w:rPr>
        <w:fldChar w:fldCharType="begin" w:fldLock="1"/>
      </w:r>
      <w:r w:rsidRPr="00C51CE2">
        <w:rPr>
          <w:color w:val="000000" w:themeColor="text1"/>
        </w:rPr>
        <w:instrText>ADDIN CSL_CITATION {"citationItems":[{"id":"ITEM-1","itemData":{"author":[{"dropping-particle":"","family":"Bogaerts","given":"Els","non-dropping-particle":"","parse-names":false,"suffix":""}],"chapter-number":"9","container-title":"Heirs to World Culture: 1950-1965","editor":[{"dropping-particle":"","family":"Jennifer Lindsay &amp; Maya H.T. Liem","given":"","non-dropping-particle":"","parse-names":false,"suffix":""}],"id":"ITEM-1","issue":"May 2021","issued":{"date-parts":[["1965"]]},"page":"1950-1965","publisher":"Brill","title":"Whither Indonesian Culture?’: Rethinking ‘Culture’ in Indonesia in a Time of Decolonization","type":"chapter"},"suppress-author":1,"uris":["http://www.mendeley.com/documents/?uuid=0639f026-e28e-4aac-87a5-df85f09a455d"]}],"mendeley":{"formattedCitation":"(1965)","plainTextFormattedCitation":"(1965)","previouslyFormattedCitation":"(1965)"},"properties":{"noteIndex":0},"schema":"https://github.com/citation-style-language/schema/raw/master/csl-citation.json"}</w:instrText>
      </w:r>
      <w:r w:rsidRPr="00C51CE2">
        <w:rPr>
          <w:color w:val="000000" w:themeColor="text1"/>
        </w:rPr>
        <w:fldChar w:fldCharType="separate"/>
      </w:r>
      <w:r w:rsidRPr="00C51CE2">
        <w:rPr>
          <w:noProof/>
          <w:color w:val="000000" w:themeColor="text1"/>
        </w:rPr>
        <w:t>(1965)</w:t>
      </w:r>
      <w:r w:rsidRPr="00C51CE2">
        <w:rPr>
          <w:color w:val="000000" w:themeColor="text1"/>
        </w:rPr>
        <w:fldChar w:fldCharType="end"/>
      </w:r>
      <w:r w:rsidRPr="00C51CE2">
        <w:rPr>
          <w:color w:val="000000" w:themeColor="text1"/>
        </w:rPr>
        <w:t>, Geertz</w:t>
      </w:r>
      <w:r>
        <w:rPr>
          <w:color w:val="000000" w:themeColor="text1"/>
        </w:rPr>
        <w:t xml:space="preserve"> </w:t>
      </w:r>
      <w:r>
        <w:rPr>
          <w:color w:val="000000" w:themeColor="text1"/>
        </w:rPr>
        <w:fldChar w:fldCharType="begin" w:fldLock="1"/>
      </w:r>
      <w:r>
        <w:rPr>
          <w:color w:val="000000" w:themeColor="text1"/>
        </w:rPr>
        <w:instrText>ADDIN CSL_CITATION {"citationItems":[{"id":"ITEM-1","itemData":{"DOI":"10.2307/2802324","ISBN":"9781000392555","author":[{"dropping-particle":"","family":"Geertz","given":"Clifford","non-dropping-particle":"","parse-names":false,"suffix":""}],"id":"ITEM-1","issue":"4","issued":{"date-parts":[["1984"]]},"page":"511-532","title":"Culture and Social Change: Indonesian Case","type":"article-journal","volume":"19"},"suppress-author":1,"uris":["http://www.mendeley.com/documents/?uuid=5e289815-aa8d-42be-bdc0-4efb31065c39"]}],"mendeley":{"formattedCitation":"(1984)","plainTextFormattedCitation":"(1984)","previouslyFormattedCitation":"(1984)"},"properties":{"noteIndex":0},"schema":"https://github.com/citation-style-language/schema/raw/master/csl-citation.json"}</w:instrText>
      </w:r>
      <w:r>
        <w:rPr>
          <w:color w:val="000000" w:themeColor="text1"/>
        </w:rPr>
        <w:fldChar w:fldCharType="separate"/>
      </w:r>
      <w:r w:rsidRPr="00FD337E">
        <w:rPr>
          <w:noProof/>
          <w:color w:val="000000" w:themeColor="text1"/>
        </w:rPr>
        <w:t>(1984)</w:t>
      </w:r>
      <w:r>
        <w:rPr>
          <w:color w:val="000000" w:themeColor="text1"/>
        </w:rPr>
        <w:fldChar w:fldCharType="end"/>
      </w:r>
      <w:r w:rsidRPr="00C51CE2">
        <w:rPr>
          <w:color w:val="000000" w:themeColor="text1"/>
        </w:rPr>
        <w:t xml:space="preserve"> (1984), and Jones </w:t>
      </w:r>
      <w:r w:rsidRPr="00C51CE2">
        <w:rPr>
          <w:color w:val="000000" w:themeColor="text1"/>
        </w:rPr>
        <w:fldChar w:fldCharType="begin" w:fldLock="1"/>
      </w:r>
      <w:r w:rsidRPr="00C51CE2">
        <w:rPr>
          <w:color w:val="000000" w:themeColor="text1"/>
        </w:rPr>
        <w:instrText>ADDIN CSL_CITATION {"citationItems":[{"id":"ITEM-1","itemData":{"DOI":"10.5728/indonesia.93.0147","ISSN":"00197289","abstract":"The breadth and scale of the changes since the fall of Suharto raise the question whether previous research on Indonesian cultural policy, characterized here as an authoritarian cultural policy model, is still relevant. After reviewing Suharto-era cultural policy, this article updates previous research by examining five changes: the immediate response of artists and media to Suharto's resignation; national cultural policy change; political decentralization and the growth of ethnic and local identity politics; the implications of decentralization for regional cultural policy making; and the effects of public morality debates. It finishes by assessing the continued relevance of the authoritarian cultural policy model and identifying four broad uses of culture that are driving diversity in cultural policy across administrations.","author":[{"dropping-particle":"","family":"Jones","given":"Tod","non-dropping-particle":"","parse-names":false,"suffix":""}],"container-title":"Indonesia","id":"ITEM-1","issue":"93","issued":{"date-parts":[["2012"]]},"page":"147-176","title":"Indonesian cultural policy in the reform era","type":"article-journal","volume":"2012"},"suppress-author":1,"uris":["http://www.mendeley.com/documents/?uuid=2e06cb0c-6dd9-4328-8f3a-9155fa47d73f"]}],"mendeley":{"formattedCitation":"(2012)","plainTextFormattedCitation":"(2012)","previouslyFormattedCitation":"(2012)"},"properties":{"noteIndex":0},"schema":"https://github.com/citation-style-language/schema/raw/master/csl-citation.json"}</w:instrText>
      </w:r>
      <w:r w:rsidRPr="00C51CE2">
        <w:rPr>
          <w:color w:val="000000" w:themeColor="text1"/>
        </w:rPr>
        <w:fldChar w:fldCharType="separate"/>
      </w:r>
      <w:r w:rsidRPr="00C51CE2">
        <w:rPr>
          <w:noProof/>
          <w:color w:val="000000" w:themeColor="text1"/>
        </w:rPr>
        <w:t>(2012)</w:t>
      </w:r>
      <w:r w:rsidRPr="00C51CE2">
        <w:rPr>
          <w:color w:val="000000" w:themeColor="text1"/>
        </w:rPr>
        <w:fldChar w:fldCharType="end"/>
      </w:r>
      <w:r w:rsidRPr="00C51CE2">
        <w:rPr>
          <w:color w:val="000000" w:themeColor="text1"/>
        </w:rPr>
        <w:t xml:space="preserve">, identified the issues and implied more research. Following up, several researchers tried to identify the most tolerant place in Indonesia by designed criteria. They measured Bangka-Belitung Province among the top ten </w:t>
      </w:r>
      <w:r>
        <w:rPr>
          <w:color w:val="000000" w:themeColor="text1"/>
        </w:rPr>
        <w:fldChar w:fldCharType="begin" w:fldLock="1"/>
      </w:r>
      <w:r>
        <w:rPr>
          <w:color w:val="000000" w:themeColor="text1"/>
        </w:rPr>
        <w:instrText>ADDIN CSL_CITATION {"citationItems":[{"id":"ITEM-1","itemData":{"URL":"https://www.newmandala.org/measuring-religious-intolerance-across-indonesian-provinces/","author":[{"dropping-particle":"","family":"Sumaktoyo","given":"Nathanael","non-dropping-particle":"","parse-names":false,"suffix":""}],"container-title":"New Mandala, Australian National University","id":"ITEM-1","issued":{"date-parts":[["2018"]]},"title":"Measuring religious intolerance across Indonesian provinces","type":"webpage"},"uris":["http://www.mendeley.com/documents/?uuid=b2832953-5585-411f-a035-076104d7987d"]}],"mendeley":{"formattedCitation":"(Sumaktoyo, 2018)","plainTextFormattedCitation":"(Sumaktoyo, 2018)","previouslyFormattedCitation":"(Sumaktoyo, 2018)"},"properties":{"noteIndex":0},"schema":"https://github.com/citation-style-language/schema/raw/master/csl-citation.json"}</w:instrText>
      </w:r>
      <w:r>
        <w:rPr>
          <w:color w:val="000000" w:themeColor="text1"/>
        </w:rPr>
        <w:fldChar w:fldCharType="separate"/>
      </w:r>
      <w:r w:rsidRPr="00462655">
        <w:rPr>
          <w:noProof/>
          <w:color w:val="000000" w:themeColor="text1"/>
        </w:rPr>
        <w:t>(Sumaktoyo, 2018)</w:t>
      </w:r>
      <w:r>
        <w:rPr>
          <w:color w:val="000000" w:themeColor="text1"/>
        </w:rPr>
        <w:fldChar w:fldCharType="end"/>
      </w:r>
      <w:r>
        <w:rPr>
          <w:color w:val="000000" w:themeColor="text1"/>
        </w:rPr>
        <w:t xml:space="preserve">. </w:t>
      </w:r>
      <w:r w:rsidRPr="00C51CE2">
        <w:rPr>
          <w:color w:val="000000" w:themeColor="text1"/>
        </w:rPr>
        <w:t xml:space="preserve">Earlier studies confirmed the nominating proven by some findings, such as the long story of tolerance among Javanese and Malays and Malays </w:t>
      </w:r>
      <w:r w:rsidRPr="00C51CE2">
        <w:rPr>
          <w:color w:val="000000" w:themeColor="text1"/>
        </w:rPr>
        <w:fldChar w:fldCharType="begin" w:fldLock="1"/>
      </w:r>
      <w:r w:rsidRPr="00C51CE2">
        <w:rPr>
          <w:color w:val="000000" w:themeColor="text1"/>
        </w:rPr>
        <w:instrText>ADDIN CSL_CITATION {"citationItems":[{"id":"ITEM-1","itemData":{"DOI":"10.37014/jumantara.v12i1.1124","ISSN":"2087-1074","abstract":"This study discusses the pattern of integration between the Javanese and Malays of Bangka Belitung over the centuries. The main source of this study is the transliteration of a manuscript of the Hikayat Raja Berekor, ‘The Saga of the Tailed King coded ML 84, held in the National Library of Indonesia, by Moenawar (1979). In addition, additional sources are the Carita Bangka text which was transliterated by E.P. Wieringa (1990) and the oral literary work “Asal Mule Kejadian Pulau Belitong dan Riwayat Raje Beikor” based on the study by Sarman (2013). This study attempts to explain the relationship between the Javanese and the Bangka-Belitung Malays in a literary and historical framework. The study uses qualitative methods through library study techniques. In data processing, the study uses the principles of intertextual work and a literary sociology approach. Based on text analysis there is a link between Java and Bangka Belitung. The relationship is a sign of a pattern of social integration and interaction, manifested in cooperation in dealing with a common threat, in the form of marriage that unites the two groups. The study also reveals the existence of similarities and differences in individual texts, showing how these have been integrated culturally.","author":[{"dropping-particle":"","family":"Wati","given":"Mira Setya","non-dropping-particle":"","parse-names":false,"suffix":""},{"dropping-particle":"","family":"Buduroh","given":"Mamlahatun","non-dropping-particle":"","parse-names":false,"suffix":""}],"container-title":"Jumantara: Jurnal Manuskrip Nusantara","id":"ITEM-1","issue":"1","issued":{"date-parts":[["2021"]]},"page":"53-68","title":"Pola Integrasi antara Jawa dan Melayu-Bangka Belitung dalam Naskah Hikayat Raja Berekor","type":"article-journal","volume":"12"},"uris":["http://www.mendeley.com/documents/?uuid=60ebdf1b-3035-4675-b600-6cb631d4271d"]}],"mendeley":{"formattedCitation":"(Wati &amp; Buduroh, 2021)","plainTextFormattedCitation":"(Wati &amp; Buduroh, 2021)","previouslyFormattedCitation":"(Wati &amp; Buduroh, 2021)"},"properties":{"noteIndex":0},"schema":"https://github.com/citation-style-language/schema/raw/master/csl-citation.json"}</w:instrText>
      </w:r>
      <w:r w:rsidRPr="00C51CE2">
        <w:rPr>
          <w:color w:val="000000" w:themeColor="text1"/>
        </w:rPr>
        <w:fldChar w:fldCharType="separate"/>
      </w:r>
      <w:r w:rsidRPr="00C51CE2">
        <w:rPr>
          <w:noProof/>
          <w:color w:val="000000" w:themeColor="text1"/>
        </w:rPr>
        <w:t>(Wati &amp; Buduroh, 2021)</w:t>
      </w:r>
      <w:r w:rsidRPr="00C51CE2">
        <w:rPr>
          <w:color w:val="000000" w:themeColor="text1"/>
        </w:rPr>
        <w:fldChar w:fldCharType="end"/>
      </w:r>
      <w:r w:rsidRPr="00C51CE2">
        <w:rPr>
          <w:color w:val="000000" w:themeColor="text1"/>
        </w:rPr>
        <w:t xml:space="preserve">, smooth assimilation of Chinese ethnic into the local ethnic </w:t>
      </w:r>
      <w:r w:rsidRPr="00C51CE2">
        <w:rPr>
          <w:color w:val="000000" w:themeColor="text1"/>
        </w:rPr>
        <w:fldChar w:fldCharType="begin" w:fldLock="1"/>
      </w:r>
      <w:r>
        <w:rPr>
          <w:color w:val="000000" w:themeColor="text1"/>
        </w:rPr>
        <w:instrText>ADDIN CSL_CITATION {"citationItems":[{"id":"ITEM-1","itemData":{"DOI":"10.1051/shsconf/20207601013","abstract":"Chinese ethnic in Bangka Island has been there since the colonialism and has become part of tin mining history on the island. It is no wonder that the acculturation has stated for a long time ago especially in the grass root society. This study found out how is Chinese assimilation in this area using the qualitative approach. Based on the data from interviews and observations on the field, the writer found out that Chinese assimilation on the island formed a unity identity without losing their own identity. Tong Ngin Fan Ngin Tjit Tjong which means Chinese and Native, has become the grass roots’ principle and social bond among them. Since the reformation in 1998, this broadens the relation from social into electoral politics. However, the spirit of acculturation in the grass roots must be kept that it doesn’t appear to the surface. The celebration of Chinese identity recognition must be done naturally so as not to cause antipathy. The tolerance that has been practiced so far at the grassroots must be strengthened so that when conflicts of elite interests occur, relations at the grassroots level are not affected.","author":[{"dropping-particle":"","family":"Ibrahim","given":"Ibrahim","non-dropping-particle":"","parse-names":false,"suffix":""},{"dropping-particle":"","family":"Rendy","given":"Rendy","non-dropping-particle":"","parse-names":false,"suffix":""},{"dropping-particle":"","family":"Sujadmi","given":"Sujadmi","non-dropping-particle":"","parse-names":false,"suffix":""},{"dropping-particle":"","family":"Pratama Saputra","given":"Putra","non-dropping-particle":"","parse-names":false,"suffix":""},{"dropping-particle":"","family":"Febriani","given":"Luna","non-dropping-particle":"","parse-names":false,"suffix":""}],"container-title":"SHS Web of Conferences","id":"ITEM-1","issued":{"date-parts":[["2020"]]},"page":"01013","title":"Fan Ngin Tong Ngin Tjit Jong: The assimilation face of grassroot of Chinese ethnic in Bangka Island, Indonesia","type":"article-journal","volume":"76"},"uris":["http://www.mendeley.com/documents/?uuid=b088e494-e0d7-40e0-b8d9-3f775d563f9f"]}],"mendeley":{"formattedCitation":"(Ibrahim et al., 2020)","plainTextFormattedCitation":"(Ibrahim et al., 2020)","previouslyFormattedCitation":"(Ibrahim et al., 2020)"},"properties":{"noteIndex":0},"schema":"https://github.com/citation-style-language/schema/raw/master/csl-citation.json"}</w:instrText>
      </w:r>
      <w:r w:rsidRPr="00C51CE2">
        <w:rPr>
          <w:color w:val="000000" w:themeColor="text1"/>
        </w:rPr>
        <w:fldChar w:fldCharType="separate"/>
      </w:r>
      <w:r w:rsidRPr="00C51CE2">
        <w:rPr>
          <w:noProof/>
          <w:color w:val="000000" w:themeColor="text1"/>
        </w:rPr>
        <w:t>(Ibrahim et al., 2020)</w:t>
      </w:r>
      <w:r w:rsidRPr="00C51CE2">
        <w:rPr>
          <w:color w:val="000000" w:themeColor="text1"/>
        </w:rPr>
        <w:fldChar w:fldCharType="end"/>
      </w:r>
      <w:r w:rsidRPr="00C51CE2">
        <w:rPr>
          <w:color w:val="000000" w:themeColor="text1"/>
        </w:rPr>
        <w:t xml:space="preserve">, intercultural communication </w:t>
      </w:r>
      <w:r w:rsidRPr="00C51CE2">
        <w:rPr>
          <w:color w:val="000000" w:themeColor="text1"/>
        </w:rPr>
        <w:fldChar w:fldCharType="begin" w:fldLock="1"/>
      </w:r>
      <w:r w:rsidRPr="00C51CE2">
        <w:rPr>
          <w:color w:val="000000" w:themeColor="text1"/>
        </w:rPr>
        <w:instrText xml:space="preserve">ADDIN CSL_CITATION {"citationItems":[{"id":"ITEM-1","itemData":{"DOI":"10.17265/1539-8072/2015.04.009","author":[{"dropping-particle":"","family":"Mulyana","given":"Deddy","non-dropping-particle":"","parse-names":false,"suffix":""},{"dropping-particle":"","family":"Zubair","given":"Agustina","non-dropping-particle":"","parse-names":false,"suffix":""}],"container-title":"Sino-US English Teaching","id":"ITEM-1","issue":"4","issued":{"date-parts":[["2015"]]},"page":"299-309","title":"Intercultural Communication Competence Developed by Chinese in Communicating With Malays in Bangka Island, Indonesia </w:instrText>
      </w:r>
      <w:r w:rsidRPr="00C51CE2">
        <w:rPr>
          <w:rFonts w:ascii="MS Mincho" w:eastAsia="MS Mincho" w:hAnsi="MS Mincho" w:cs="MS Mincho"/>
          <w:color w:val="000000" w:themeColor="text1"/>
        </w:rPr>
        <w:instrText>∗</w:instrText>
      </w:r>
      <w:r w:rsidRPr="00C51CE2">
        <w:rPr>
          <w:color w:val="000000" w:themeColor="text1"/>
        </w:rPr>
        <w:instrText>","type":"article-journal","volume":"12"},"uris":["http://www.mendeley.com/documents/?uuid=f14bc2d6-b76d-47e5-9158-1e0a0c15e74d"]}],"mendeley":{"formattedCitation":"(Mulyana &amp; Zubair, 2015)","plainTextFormattedCitation":"(Mulyana &amp; Zubair, 2015)","previouslyFormattedCitation":"(Mulyana &amp; Zubair, 2015)"},"properties":{"noteIndex":0},"schema":"https://github.com/citation-style-language/schema/raw/master/csl-citation.json"}</w:instrText>
      </w:r>
      <w:r w:rsidRPr="00C51CE2">
        <w:rPr>
          <w:color w:val="000000" w:themeColor="text1"/>
        </w:rPr>
        <w:fldChar w:fldCharType="separate"/>
      </w:r>
      <w:r w:rsidRPr="00C51CE2">
        <w:rPr>
          <w:noProof/>
          <w:color w:val="000000" w:themeColor="text1"/>
        </w:rPr>
        <w:t>(Mulyana &amp; Zubair, 2015)</w:t>
      </w:r>
      <w:r w:rsidRPr="00C51CE2">
        <w:rPr>
          <w:color w:val="000000" w:themeColor="text1"/>
        </w:rPr>
        <w:fldChar w:fldCharType="end"/>
      </w:r>
      <w:r w:rsidRPr="00C51CE2">
        <w:rPr>
          <w:color w:val="000000" w:themeColor="text1"/>
        </w:rPr>
        <w:t>,</w:t>
      </w:r>
      <w:r>
        <w:rPr>
          <w:color w:val="000000" w:themeColor="text1"/>
        </w:rPr>
        <w:t xml:space="preserve"> </w:t>
      </w:r>
      <w:r w:rsidRPr="00C51CE2">
        <w:rPr>
          <w:color w:val="000000" w:themeColor="text1"/>
        </w:rPr>
        <w:t xml:space="preserve">and hybridity of architecture </w:t>
      </w:r>
      <w:r w:rsidRPr="00C51CE2">
        <w:rPr>
          <w:color w:val="000000" w:themeColor="text1"/>
        </w:rPr>
        <w:fldChar w:fldCharType="begin" w:fldLock="1"/>
      </w:r>
      <w:r w:rsidRPr="00C51CE2">
        <w:rPr>
          <w:color w:val="000000" w:themeColor="text1"/>
        </w:rPr>
        <w:instrText>ADDIN CSL_CITATION {"citationItems":[{"id":"ITEM-1","itemData":{"DOI":"10.7454/mssh.v17i2.2953","ISSN":"2355-794X","abstract":"This paper concerns the importance of socio-cultural hybridity in the process of architecture and urban development. It confronts spatial particularity occurring between the discourses of colonialism and multiculturalism. As a result of centuries of dynamic interaction amongst several ethnic groups including Malay, Chinese and European, Muntok as the colonial capital town of Bangka Island before 20thcentury offers various architectural edifices and urban forms. The scope of this paper focuses on the intersection between colonial history and hybridity itself and the research analyses its material represent through architecture and urban form. The methods of the research are conducted through a combination of a qualitative and a quantitative approach involving direct interviews, data collection, and typological analysis. Hybridity becomes a critical tool to reveal the dynamic process of architecture and urbanism. The research found that hybrid architecture is not only about the existence of physical aspects of buildings, but also most importantly about the integration and dialectical relationship between its materiality and the socio-cultural processes that lie behind it. Hibriditas pada Arsitektur dan Ruang Kota Tambang Timah Kolonial di Muntok-Bangka Abstrak Makalah ini menelaah pentingnya hibriditas sosial-budaya dalam proses perkembangan arsitektur dan kota melalui perspektif kolonialisme dan multikulturalisme. Sebagai hasil interaksi dinamis selama berabad-abad antara beberapa kelompok etnis termasuk Melayu, Cina, dan Eropa, Muntok yang menjadi ibukota pulau Bangka sebelum abad ke-20 menawarkan ragam bentuk bangunan dan pola kota yang unik. Jangkauan makalah ini memfokuskan pada perpotongan antara sejarah kolonial dan hibriditas itu sendiri, yaitu melalui representasi material budaya. Metode riset dilakukan melalui kombinasi antara pendekatan kualitatif dan kuantitatif, termasuk wawancara, koleksi data dan analisis tipologi. Hibriditas menjadi alat kritikal untuk mengungkapkan proses dinamis pada arsitektur dan kota. Riset ini menemukan bahwa arsitektur hibrid tidak hanya tentang keberadaan aspek-aspek fisik dari bangunan, tapi juga paling penting adalah integrasi dan hubungan dialektikal antara materialitas dan proses sosial-budaya di belakangnya.","author":[{"dropping-particle":"","family":"Kurniawan","given":"Kemas Ridwan","non-dropping-particle":"","parse-names":false,"suffix":""},{"dropping-particle":"","family":"Kusumawardhani","given":"Ratu Arum","non-dropping-particle":"","parse-names":false,"suffix":""},{"dropping-particle":"","family":"Ellisa","given":"Evawani","non-dropping-particle":"","parse-names":false,"suffix":""},{"dropping-particle":"","family":"Widyarta","given":"Muhammad Nanda","non-dropping-particle":"","parse-names":false,"suffix":""},{"dropping-particle":"","family":"Atmoko","given":"Teguh Utomo","non-dropping-particle":"","parse-names":false,"suffix":""}],"container-title":"Makara Human Behavior Studies in Asia","id":"ITEM-1","issue":"2","issued":{"date-parts":[["2013"]]},"page":"75","title":"Hybridity on architecture and urban spaces in the Colonial Tin Mining Town of Muntok-Bangka","type":"article-journal","volume":"17"},"uris":["http://www.mendeley.com/documents/?uuid=59a73f8c-6852-4c99-832a-564c2cf613a2"]}],"mendeley":{"formattedCitation":"(Kurniawan et al., 2013)","plainTextFormattedCitation":"(Kurniawan et al., 2013)","previouslyFormattedCitation":"(Kurniawan et al., 2013)"},"properties":{"noteIndex":0},"schema":"https://github.com/citation-style-language/schema/raw/master/csl-citation.json"}</w:instrText>
      </w:r>
      <w:r w:rsidRPr="00C51CE2">
        <w:rPr>
          <w:color w:val="000000" w:themeColor="text1"/>
        </w:rPr>
        <w:fldChar w:fldCharType="separate"/>
      </w:r>
      <w:r w:rsidRPr="00C51CE2">
        <w:rPr>
          <w:noProof/>
          <w:color w:val="000000" w:themeColor="text1"/>
        </w:rPr>
        <w:t>(Kurniawan et al., 2013)</w:t>
      </w:r>
      <w:r w:rsidRPr="00C51CE2">
        <w:rPr>
          <w:color w:val="000000" w:themeColor="text1"/>
        </w:rPr>
        <w:fldChar w:fldCharType="end"/>
      </w:r>
      <w:r w:rsidRPr="00C51CE2">
        <w:rPr>
          <w:color w:val="000000" w:themeColor="text1"/>
        </w:rPr>
        <w:t xml:space="preserve">. For the multi-ethnic/multiculturalism of its people, </w:t>
      </w:r>
      <w:r w:rsidRPr="00C51CE2">
        <w:rPr>
          <w:color w:val="000000" w:themeColor="text1"/>
        </w:rPr>
        <w:fldChar w:fldCharType="begin" w:fldLock="1"/>
      </w:r>
      <w:r w:rsidRPr="00C51CE2">
        <w:rPr>
          <w:color w:val="000000" w:themeColor="text1"/>
        </w:rPr>
        <w:instrText>ADDIN CSL_CITATION {"citationItems":[{"id":"ITEM-1","itemData":{"DOI":"10.2991/icdesa-19.2019.11","abstract":"… The social culture is described as follows. Penduduk Pulau Bangka dan Pulau Belitung yang semula dihuni orang-orang suku laut, dalam perjalanan sejarah yang panjang membentuk proses kulturisasi dan akulturasi. [….] Sedangkan …","author":[{"dropping-particle":"","family":"Futaesaku","given":"Kazuyo","non-dropping-particle":"","parse-names":false,"suffix":""}],"id":"ITEM-1","issue":"ICDeSA","issued":{"date-parts":[["2019"]]},"page":"50-55","title":"Reconstruction and Transformation of Regional Culture Through Tourism: The case of Bangka Belitung Province","type":"article-journal","volume":"367"},"uris":["http://www.mendeley.com/documents/?uuid=ee38a606-7612-45e9-b675-435eb127ad72"]}],"mendeley":{"formattedCitation":"(Futaesaku, 2019)","plainTextFormattedCitation":"(Futaesaku, 2019)","previouslyFormattedCitation":"(Futaesaku, 2019)"},"properties":{"noteIndex":0},"schema":"https://github.com/citation-style-language/schema/raw/master/csl-citation.json"}</w:instrText>
      </w:r>
      <w:r w:rsidRPr="00C51CE2">
        <w:rPr>
          <w:color w:val="000000" w:themeColor="text1"/>
        </w:rPr>
        <w:fldChar w:fldCharType="separate"/>
      </w:r>
      <w:r w:rsidRPr="00C51CE2">
        <w:rPr>
          <w:noProof/>
          <w:color w:val="000000" w:themeColor="text1"/>
        </w:rPr>
        <w:t>(Futaesaku, 2019)</w:t>
      </w:r>
      <w:r w:rsidRPr="00C51CE2">
        <w:rPr>
          <w:color w:val="000000" w:themeColor="text1"/>
        </w:rPr>
        <w:fldChar w:fldCharType="end"/>
      </w:r>
      <w:r w:rsidRPr="00C51CE2">
        <w:rPr>
          <w:color w:val="000000" w:themeColor="text1"/>
        </w:rPr>
        <w:t xml:space="preserve"> nominated Bangka-Belitung Province as a promising cultural tourism destination.</w:t>
      </w:r>
    </w:p>
    <w:p w14:paraId="5BE7C6C0" w14:textId="77777777" w:rsidR="004B334D" w:rsidRPr="00C51CE2" w:rsidRDefault="004B334D" w:rsidP="004B334D">
      <w:pPr>
        <w:widowControl w:val="0"/>
        <w:autoSpaceDE w:val="0"/>
        <w:autoSpaceDN w:val="0"/>
        <w:adjustRightInd w:val="0"/>
        <w:jc w:val="both"/>
        <w:rPr>
          <w:color w:val="000000" w:themeColor="text1"/>
        </w:rPr>
      </w:pPr>
    </w:p>
    <w:p w14:paraId="65C09C59" w14:textId="77777777" w:rsidR="004B334D" w:rsidRPr="00C51CE2" w:rsidRDefault="004B334D" w:rsidP="004B334D">
      <w:pPr>
        <w:widowControl w:val="0"/>
        <w:autoSpaceDE w:val="0"/>
        <w:autoSpaceDN w:val="0"/>
        <w:adjustRightInd w:val="0"/>
        <w:jc w:val="both"/>
        <w:rPr>
          <w:color w:val="000000" w:themeColor="text1"/>
        </w:rPr>
      </w:pPr>
      <w:r w:rsidRPr="00C51CE2">
        <w:rPr>
          <w:color w:val="000000" w:themeColor="text1"/>
        </w:rPr>
        <w:t xml:space="preserve">Reflecting the recognition of harmonious life in the region, its future generation, represented by students of high schools, presumably has practice multiculturalism in daily life through social process. Referring to </w:t>
      </w:r>
      <w:proofErr w:type="spellStart"/>
      <w:r w:rsidRPr="00C51CE2">
        <w:rPr>
          <w:color w:val="000000" w:themeColor="text1"/>
        </w:rPr>
        <w:t>Convertino</w:t>
      </w:r>
      <w:proofErr w:type="spellEnd"/>
      <w:r w:rsidRPr="00C51CE2">
        <w:rPr>
          <w:color w:val="000000" w:themeColor="text1"/>
        </w:rPr>
        <w:t xml:space="preserve"> et al. </w:t>
      </w:r>
      <w:r w:rsidRPr="00C51CE2">
        <w:rPr>
          <w:color w:val="000000" w:themeColor="text1"/>
        </w:rPr>
        <w:fldChar w:fldCharType="begin" w:fldLock="1"/>
      </w:r>
      <w:r w:rsidRPr="00C51CE2">
        <w:rPr>
          <w:color w:val="000000" w:themeColor="text1"/>
        </w:rPr>
        <w:instrText>ADDIN CSL_CITATION {"citationItems":[{"id":"ITEM-1","itemData":{"ISBN":"9781118360088","author":[{"dropping-particle":"","family":"Convertino","given":"Christina","non-dropping-particle":"","parse-names":false,"suffix":""},{"dropping-particle":"","family":"Levinson","given":"Bradley A.","non-dropping-particle":"","parse-names":false,"suffix":""},{"dropping-particle":"","family":"Gonzalez","given":"Norma","non-dropping-particle":"","parse-names":false,"suffix":""}],"chapter-number":"2","container-title":"Multicultural Education: Issues and Perspectives","edition":"8th","editor":[{"dropping-particle":"","family":"Banks","given":"James A.","non-dropping-particle":"","parse-names":false,"suffix":""},{"dropping-particle":"","family":"Banks","given":"Cherry A. McGee","non-dropping-particle":"","parse-names":false,"suffix":""}],"id":"ITEM-1","issued":{"date-parts":[["2013"]]},"page":"25-42","publisher":"Wiley","publisher-place":"Danvers","title":"Culture, teaching, and learning","type":"chapter"},"suppress-author":1,"uris":["http://www.mendeley.com/documents/?uuid=651c3e5e-d75d-4db7-b66d-65f5c5a7effb"]}],"mendeley":{"formattedCitation":"(2013)","plainTextFormattedCitation":"(2013)","previouslyFormattedCitation":"(2013)"},"properties":{"noteIndex":0},"schema":"https://github.com/citation-style-language/schema/raw/master/csl-citation.json"}</w:instrText>
      </w:r>
      <w:r w:rsidRPr="00C51CE2">
        <w:rPr>
          <w:color w:val="000000" w:themeColor="text1"/>
        </w:rPr>
        <w:fldChar w:fldCharType="separate"/>
      </w:r>
      <w:r w:rsidRPr="00C51CE2">
        <w:rPr>
          <w:noProof/>
          <w:color w:val="000000" w:themeColor="text1"/>
        </w:rPr>
        <w:t>(2013)</w:t>
      </w:r>
      <w:r w:rsidRPr="00C51CE2">
        <w:rPr>
          <w:color w:val="000000" w:themeColor="text1"/>
        </w:rPr>
        <w:fldChar w:fldCharType="end"/>
      </w:r>
      <w:r w:rsidRPr="00C51CE2">
        <w:rPr>
          <w:color w:val="000000" w:themeColor="text1"/>
        </w:rPr>
        <w:t xml:space="preserve"> and </w:t>
      </w:r>
      <w:r w:rsidRPr="00C51CE2">
        <w:rPr>
          <w:color w:val="000000" w:themeColor="text1"/>
        </w:rPr>
        <w:fldChar w:fldCharType="begin" w:fldLock="1"/>
      </w:r>
      <w:r w:rsidRPr="00C51CE2">
        <w:rPr>
          <w:color w:val="000000" w:themeColor="text1"/>
        </w:rPr>
        <w:instrText>ADDIN CSL_CITATION {"citationItems":[{"id":"ITEM-1","itemData":{"DOI":"10.1080/03057925.2017.1399250","ISSN":"14693623","abstract":"This paper examines how education in Indonesia can help create tolerant and multicultural citizens through the analysis of policies and practices. After the political shift in 1998, Indonesia issued education law No. 20 in 2003 which contains, though vague, a couple of articles that can underpin the development and implementation of multicultural education. This is a ‘spirit’ of multicultural education, which has been interpreted in subsequent regulations and decrees. In this paper, the author explores how these policies and school curricula have been translated into practices. The author conducted a series of ethnographic fieldwork in two provinces, Yogyakarta and Central Kalimantan, visiting six different schools: four religious (three Islamic and one Catholic), one state secular and one state vocational. The findings suggest that there were inconsistencies between policies and practices of multicultural education due to a lack of explicit policies and incapable education decision-makers and teachers.","author":[{"dropping-particle":"","family":"Raihani","given":"R.","non-dropping-particle":"","parse-names":false,"suffix":""}],"container-title":"Compare","id":"ITEM-1","issue":"6","issued":{"date-parts":[["2018"]]},"page":"992-1009","publisher":"Routledge","title":"Education for multicultural citizens in Indonesia: policies and practices","type":"article-journal","volume":"48"},"uris":["http://www.mendeley.com/documents/?uuid=890dbfcb-4fcb-407c-ac85-985881698f37"]}],"mendeley":{"formattedCitation":"(Raihani, 2018)","plainTextFormattedCitation":"(Raihani, 2018)","previouslyFormattedCitation":"(Raihani, 2018)"},"properties":{"noteIndex":0},"schema":"https://github.com/citation-style-language/schema/raw/master/csl-citation.json"}</w:instrText>
      </w:r>
      <w:r w:rsidRPr="00C51CE2">
        <w:rPr>
          <w:color w:val="000000" w:themeColor="text1"/>
        </w:rPr>
        <w:fldChar w:fldCharType="separate"/>
      </w:r>
      <w:r w:rsidRPr="00C51CE2">
        <w:rPr>
          <w:noProof/>
          <w:color w:val="000000" w:themeColor="text1"/>
        </w:rPr>
        <w:t>(Raihani, 2018)</w:t>
      </w:r>
      <w:r w:rsidRPr="00C51CE2">
        <w:rPr>
          <w:color w:val="000000" w:themeColor="text1"/>
        </w:rPr>
        <w:fldChar w:fldCharType="end"/>
      </w:r>
      <w:r w:rsidRPr="00C51CE2">
        <w:rPr>
          <w:color w:val="000000" w:themeColor="text1"/>
        </w:rPr>
        <w:t xml:space="preserve">, the multicultural practice might not only encompasses race/ethnicity, social class, gender, and exceptionality issues but also more importantly </w:t>
      </w:r>
      <w:r w:rsidRPr="00C51CE2">
        <w:rPr>
          <w:rFonts w:ascii="Courier New" w:hAnsi="Courier New" w:cs="Courier New"/>
          <w:color w:val="000000" w:themeColor="text1"/>
        </w:rPr>
        <w:t>﻿</w:t>
      </w:r>
      <w:r w:rsidRPr="00C51CE2">
        <w:rPr>
          <w:color w:val="000000" w:themeColor="text1"/>
        </w:rPr>
        <w:t xml:space="preserve">deals with religion as an important identity marker and a source of values for life. In general, some examples of studies for describing them are multicultural competence in relation to self-regulated learning </w:t>
      </w:r>
      <w:r w:rsidRPr="00C51CE2">
        <w:rPr>
          <w:color w:val="000000" w:themeColor="text1"/>
        </w:rPr>
        <w:fldChar w:fldCharType="begin" w:fldLock="1"/>
      </w:r>
      <w:r w:rsidRPr="00C51CE2">
        <w:rPr>
          <w:color w:val="000000" w:themeColor="text1"/>
        </w:rPr>
        <w:instrText>ADDIN CSL_CITATION {"citationItems":[{"id":"ITEM-1","itemData":{"DOI":"10.1016/j.sbspro.2012.11.419","author":[{"dropping-particle":"","family":"Hladík","given":"Jakub","non-dropping-particle":"","parse-names":false,"suffix":""},{"dropping-particle":"","family":"Hrbá","given":"Karla","non-dropping-particle":"","parse-names":false,"suffix":""},{"dropping-particle":"","family":"So","given":"Ė","non-dropping-particle":"","parse-names":false,"suffix":""}],"id":"ITEM-1","issue":"Iceepsy","issued":{"date-parts":[["2012"]]},"page":"341-349","title":"Individual Importance of Multicultural Competence in relation to Components of Students ’ Self-regulated Learning","type":"article-journal","volume":"69"},"uris":["http://www.mendeley.com/documents/?uuid=38c76857-7cd7-4044-8d41-d0290a808fc6"]}],"mendeley":{"formattedCitation":"(Hladík et al., 2012)","plainTextFormattedCitation":"(Hladík et al., 2012)","previouslyFormattedCitation":"(Hladík et al., 2012)"},"properties":{"noteIndex":0},"schema":"https://github.com/citation-style-language/schema/raw/master/csl-citation.json"}</w:instrText>
      </w:r>
      <w:r w:rsidRPr="00C51CE2">
        <w:rPr>
          <w:color w:val="000000" w:themeColor="text1"/>
        </w:rPr>
        <w:fldChar w:fldCharType="separate"/>
      </w:r>
      <w:r w:rsidRPr="00C51CE2">
        <w:rPr>
          <w:noProof/>
          <w:color w:val="000000" w:themeColor="text1"/>
        </w:rPr>
        <w:t>(Hladík et al., 2012)</w:t>
      </w:r>
      <w:r w:rsidRPr="00C51CE2">
        <w:rPr>
          <w:color w:val="000000" w:themeColor="text1"/>
        </w:rPr>
        <w:fldChar w:fldCharType="end"/>
      </w:r>
      <w:r w:rsidRPr="00C51CE2">
        <w:rPr>
          <w:color w:val="000000" w:themeColor="text1"/>
        </w:rPr>
        <w:t xml:space="preserve">, ethnic identity and attachments to the nation-state </w:t>
      </w:r>
      <w:r w:rsidRPr="00C51CE2">
        <w:rPr>
          <w:color w:val="000000" w:themeColor="text1"/>
        </w:rPr>
        <w:fldChar w:fldCharType="begin" w:fldLock="1"/>
      </w:r>
      <w:r w:rsidRPr="00C51CE2">
        <w:rPr>
          <w:color w:val="000000" w:themeColor="text1"/>
        </w:rPr>
        <w:instrText>ADDIN CSL_CITATION {"citationItems":[{"id":"ITEM-1","itemData":{"author":[{"dropping-particle":"","family":"Banks","given":"James A.","non-dropping-particle":"","parse-names":false,"suffix":""}],"chapter-number":"17","container-title":"Multicultural Education and Global Citizen","editor":[{"dropping-particle":"","family":"Benet-Martínez","given":"","non-dropping-particle":"","parse-names":false,"suffix":""},{"dropping-particle":"","family":"Ying-Yi Hong","given":"","non-dropping-particle":"","parse-names":false,"suffix":""}],"id":"ITEM-1","issued":{"date-parts":[["2014"]]},"page":"561","publisher":"Oxfor Library of Psychology","publisher-place":"New York","title":"Multicultural education and global citizen","type":"chapter"},"uris":["http://www.mendeley.com/documents/?uuid=1d1f7806-75ad-449d-a3b6-504b9e3e3f58"]}],"mendeley":{"formattedCitation":"(Banks, 2014)","plainTextFormattedCitation":"(Banks, 2014)","previouslyFormattedCitation":"(Banks, 2014)"},"properties":{"noteIndex":0},"schema":"https://github.com/citation-style-language/schema/raw/master/csl-citation.json"}</w:instrText>
      </w:r>
      <w:r w:rsidRPr="00C51CE2">
        <w:rPr>
          <w:color w:val="000000" w:themeColor="text1"/>
        </w:rPr>
        <w:fldChar w:fldCharType="separate"/>
      </w:r>
      <w:r w:rsidRPr="00C51CE2">
        <w:rPr>
          <w:noProof/>
          <w:color w:val="000000" w:themeColor="text1"/>
        </w:rPr>
        <w:t>(Banks, 2014)</w:t>
      </w:r>
      <w:r w:rsidRPr="00C51CE2">
        <w:rPr>
          <w:color w:val="000000" w:themeColor="text1"/>
        </w:rPr>
        <w:fldChar w:fldCharType="end"/>
      </w:r>
      <w:r w:rsidRPr="00C51CE2">
        <w:rPr>
          <w:color w:val="000000" w:themeColor="text1"/>
        </w:rPr>
        <w:t xml:space="preserve">, educator responsibility in multicultural education </w:t>
      </w:r>
      <w:r w:rsidRPr="00C51CE2">
        <w:rPr>
          <w:color w:val="000000" w:themeColor="text1"/>
        </w:rPr>
        <w:fldChar w:fldCharType="begin" w:fldLock="1"/>
      </w:r>
      <w:r w:rsidRPr="00C51CE2">
        <w:rPr>
          <w:color w:val="000000" w:themeColor="text1"/>
        </w:rPr>
        <w:instrText>ADDIN CSL_CITATION {"citationItems":[{"id":"ITEM-1","itemData":{"DOI":"10.1080/2331186X.2016.1172394","author":[{"dropping-particle":"","family":"Yılmaz","given":"Fatih","non-dropping-particle":"","parse-names":false,"suffix":""}],"container-title":"Cogent Education","id":"ITEM-1","issue":"1","issued":{"date-parts":[["2016"]]},"publisher":"Cogent","title":"Multiculturalism and Multicultural Education : A Case Study of Teacher Candidates ’ Perceptions Multiculturalism and Multicultural Education : A Case study of Teacher Candidates’ Perceptions","type":"article-journal","volume":"9"},"uris":["http://www.mendeley.com/documents/?uuid=42fc9daa-e1f3-415c-b82b-1f0472a4cdfe"]}],"mendeley":{"formattedCitation":"(Yılmaz, 2016)","plainTextFormattedCitation":"(Yılmaz, 2016)","previouslyFormattedCitation":"(Yılmaz, 2016)"},"properties":{"noteIndex":0},"schema":"https://github.com/citation-style-language/schema/raw/master/csl-citation.json"}</w:instrText>
      </w:r>
      <w:r w:rsidRPr="00C51CE2">
        <w:rPr>
          <w:color w:val="000000" w:themeColor="text1"/>
        </w:rPr>
        <w:fldChar w:fldCharType="separate"/>
      </w:r>
      <w:r w:rsidRPr="00C51CE2">
        <w:rPr>
          <w:noProof/>
          <w:color w:val="000000" w:themeColor="text1"/>
        </w:rPr>
        <w:t>(Yılmaz, 2016)</w:t>
      </w:r>
      <w:r w:rsidRPr="00C51CE2">
        <w:rPr>
          <w:color w:val="000000" w:themeColor="text1"/>
        </w:rPr>
        <w:fldChar w:fldCharType="end"/>
      </w:r>
      <w:r w:rsidRPr="00C51CE2">
        <w:rPr>
          <w:color w:val="000000" w:themeColor="text1"/>
        </w:rPr>
        <w:t xml:space="preserve">, teachers multicultural competence, </w:t>
      </w:r>
      <w:r w:rsidRPr="00C51CE2">
        <w:rPr>
          <w:color w:val="000000" w:themeColor="text1"/>
        </w:rPr>
        <w:fldChar w:fldCharType="begin" w:fldLock="1"/>
      </w:r>
      <w:r w:rsidRPr="00C51CE2">
        <w:rPr>
          <w:color w:val="000000" w:themeColor="text1"/>
        </w:rPr>
        <w:instrText>ADDIN CSL_CITATION {"citationItems":[{"id":"ITEM-1","itemData":{"author":[{"dropping-particle":"","family":"Lehman","given":"Cheryl L.","non-dropping-particle":"","parse-names":false,"suffix":""}],"id":"ITEM-1","issue":"10","issued":{"date-parts":[["2017"]]},"page":"109-116","title":"Multicultural Competence : A Literature Review Supporting Focused Training for Preservice Teachers Teaching Diverse Students","type":"article-journal","volume":"8"},"uris":["http://www.mendeley.com/documents/?uuid=b8c08d04-60dc-4b73-a418-644e373c61b4"]}],"mendeley":{"formattedCitation":"(Lehman, 2017)","plainTextFormattedCitation":"(Lehman, 2017)","previouslyFormattedCitation":"(Lehman, 2017)"},"properties":{"noteIndex":0},"schema":"https://github.com/citation-style-language/schema/raw/master/csl-citation.json"}</w:instrText>
      </w:r>
      <w:r w:rsidRPr="00C51CE2">
        <w:rPr>
          <w:color w:val="000000" w:themeColor="text1"/>
        </w:rPr>
        <w:fldChar w:fldCharType="separate"/>
      </w:r>
      <w:r w:rsidRPr="00C51CE2">
        <w:rPr>
          <w:noProof/>
          <w:color w:val="000000" w:themeColor="text1"/>
        </w:rPr>
        <w:t>(Lehman, 2017)</w:t>
      </w:r>
      <w:r w:rsidRPr="00C51CE2">
        <w:rPr>
          <w:color w:val="000000" w:themeColor="text1"/>
        </w:rPr>
        <w:fldChar w:fldCharType="end"/>
      </w:r>
      <w:r w:rsidRPr="00C51CE2">
        <w:rPr>
          <w:color w:val="000000" w:themeColor="text1"/>
        </w:rPr>
        <w:t xml:space="preserve">, and culture clash in the multicultural classroom </w:t>
      </w:r>
      <w:r w:rsidRPr="005C6D67">
        <w:rPr>
          <w:color w:val="000000" w:themeColor="text1"/>
        </w:rPr>
        <w:fldChar w:fldCharType="begin" w:fldLock="1"/>
      </w:r>
      <w:r w:rsidRPr="005C6D67">
        <w:rPr>
          <w:color w:val="000000" w:themeColor="text1"/>
        </w:rPr>
        <w:instrText>ADDIN CSL_CITATION {"citationItems":[{"id":"ITEM-1","itemData":{"DOI":"10.5539/elt.v11n4p82","author":[{"dropping-particle":"","family":"Hansen-thomas","given":"Holly","non-dropping-particle":"","parse-names":false,"suffix":""},{"dropping-particle":"","family":"Chennapragada","given":"Sripadmini","non-dropping-particle":"","parse-names":false,"suffix":""}],"id":"ITEM-1","issue":"4","issued":{"date-parts":[["2018"]]},"page":"82-90","title":"Culture clash in the multicultural classroom: A case study from a newcomer school","type":"article-journal","volume":"11"},"uris":["http://www.mendeley.com/documents/?uuid=ac283fb3-006f-4b6c-91d0-72f29b96a961"]}],"mendeley":{"formattedCitation":"(Hansen-thomas &amp; Chennapragada, 2018)","plainTextFormattedCitation":"(Hansen-thomas &amp; Chennapragada, 2018)","previouslyFormattedCitation":"(Hansen-thomas &amp; Chennapragada, 2018)"},"properties":{"noteIndex":0},"schema":"https://github.com/citation-style-language/schema/raw/master/csl-citation.json"}</w:instrText>
      </w:r>
      <w:r w:rsidRPr="005C6D67">
        <w:rPr>
          <w:color w:val="000000" w:themeColor="text1"/>
        </w:rPr>
        <w:fldChar w:fldCharType="separate"/>
      </w:r>
      <w:r w:rsidRPr="005C6D67">
        <w:rPr>
          <w:noProof/>
          <w:color w:val="000000" w:themeColor="text1"/>
        </w:rPr>
        <w:t>(Hansen-thomas &amp; Chennapragada, 2018)</w:t>
      </w:r>
      <w:r w:rsidRPr="005C6D67">
        <w:rPr>
          <w:color w:val="000000" w:themeColor="text1"/>
        </w:rPr>
        <w:fldChar w:fldCharType="end"/>
      </w:r>
      <w:r w:rsidRPr="005C6D67">
        <w:rPr>
          <w:color w:val="000000" w:themeColor="text1"/>
        </w:rPr>
        <w:t xml:space="preserve">. </w:t>
      </w:r>
    </w:p>
    <w:p w14:paraId="293AF20D" w14:textId="77777777" w:rsidR="004B334D" w:rsidRPr="00C51CE2" w:rsidRDefault="004B334D" w:rsidP="004B334D">
      <w:pPr>
        <w:pStyle w:val="NormalWeb"/>
        <w:spacing w:before="0" w:beforeAutospacing="0" w:after="0" w:afterAutospacing="0"/>
        <w:jc w:val="both"/>
        <w:rPr>
          <w:color w:val="000000" w:themeColor="text1"/>
        </w:rPr>
      </w:pPr>
    </w:p>
    <w:p w14:paraId="5564AFE4" w14:textId="77777777" w:rsidR="004B334D" w:rsidRPr="00C51CE2" w:rsidRDefault="004B334D" w:rsidP="004B334D">
      <w:pPr>
        <w:widowControl w:val="0"/>
        <w:autoSpaceDE w:val="0"/>
        <w:autoSpaceDN w:val="0"/>
        <w:adjustRightInd w:val="0"/>
        <w:jc w:val="both"/>
        <w:rPr>
          <w:color w:val="000000" w:themeColor="text1"/>
        </w:rPr>
      </w:pPr>
      <w:r w:rsidRPr="00C51CE2">
        <w:rPr>
          <w:color w:val="000000" w:themeColor="text1"/>
        </w:rPr>
        <w:t xml:space="preserve">As part of Indonesia’s nationhood, the students in this area may choose appropriate secondary schools. It is a way of practicing multiculturalism. Their parents may ask or let them choose either Islamic or public high schools. As a rule of thumb, those parents who are very concerned with Islamic education for their children will prefer Islamic high school </w:t>
      </w:r>
      <w:r w:rsidRPr="00C51CE2">
        <w:rPr>
          <w:color w:val="000000" w:themeColor="text1"/>
        </w:rPr>
        <w:fldChar w:fldCharType="begin" w:fldLock="1"/>
      </w:r>
      <w:r w:rsidRPr="00C51CE2">
        <w:rPr>
          <w:color w:val="000000" w:themeColor="text1"/>
        </w:rPr>
        <w:instrText>ADDIN CSL_CITATION {"citationItems":[{"id":"ITEM-1","itemData":{"author":[{"dropping-particle":"","family":"Hadi","given":"Irvan","non-dropping-particle":"","parse-names":false,"suffix":""},{"dropping-particle":"","family":"Ary","given":"Metriana Made","non-dropping-particle":"","parse-names":false,"suffix":""},{"dropping-particle":"","family":"Haris","given":"Iyus Akhmad","non-dropping-particle":"","parse-names":false,"suffix":""}],"container-title":"Jurnal Pendidikan Ekonomi","id":"ITEM-1","issue":"2","issued":{"date-parts":[["2018"]]},"page":"584-593","title":"Faktor-faktor yang Mempengaruhi Keputusan Siswa dalam Memilih Sekolah di Madrasah Aliyah Negeri (MAN) 2 Jembrana sebagai Tempat Belajar","type":"article-journal","volume":"10"},"uris":["http://www.mendeley.com/documents/?uuid=03b61e21-1334-4457-a25a-ce62c097f14d"]}],"mendeley":{"formattedCitation":"(Hadi et al., 2018)","plainTextFormattedCitation":"(Hadi et al., 2018)","previouslyFormattedCitation":"(Hadi et al., 2018)"},"properties":{"noteIndex":0},"schema":"https://github.com/citation-style-language/schema/raw/master/csl-citation.json"}</w:instrText>
      </w:r>
      <w:r w:rsidRPr="00C51CE2">
        <w:rPr>
          <w:color w:val="000000" w:themeColor="text1"/>
        </w:rPr>
        <w:fldChar w:fldCharType="separate"/>
      </w:r>
      <w:r w:rsidRPr="00C51CE2">
        <w:rPr>
          <w:noProof/>
          <w:color w:val="000000" w:themeColor="text1"/>
        </w:rPr>
        <w:t>(Hadi et al., 2018)</w:t>
      </w:r>
      <w:r w:rsidRPr="00C51CE2">
        <w:rPr>
          <w:color w:val="000000" w:themeColor="text1"/>
        </w:rPr>
        <w:fldChar w:fldCharType="end"/>
      </w:r>
      <w:r w:rsidRPr="00C51CE2">
        <w:rPr>
          <w:color w:val="000000" w:themeColor="text1"/>
        </w:rPr>
        <w:t xml:space="preserve">, and other parents may send their children to high school according to their needs. For teaching general subject matters, both have similar curricula. By choosing Islamic high schools, the students will benefit from studying Islamic subjects such as Al Quran and </w:t>
      </w:r>
      <w:proofErr w:type="spellStart"/>
      <w:r w:rsidRPr="00C51CE2">
        <w:rPr>
          <w:color w:val="000000" w:themeColor="text1"/>
        </w:rPr>
        <w:t>Hadist</w:t>
      </w:r>
      <w:proofErr w:type="spellEnd"/>
      <w:r w:rsidRPr="00C51CE2">
        <w:rPr>
          <w:color w:val="000000" w:themeColor="text1"/>
        </w:rPr>
        <w:t xml:space="preserve">, </w:t>
      </w:r>
      <w:proofErr w:type="spellStart"/>
      <w:r w:rsidRPr="00C51CE2">
        <w:rPr>
          <w:color w:val="000000" w:themeColor="text1"/>
        </w:rPr>
        <w:lastRenderedPageBreak/>
        <w:t>Ushul</w:t>
      </w:r>
      <w:proofErr w:type="spellEnd"/>
      <w:r w:rsidRPr="00C51CE2">
        <w:rPr>
          <w:color w:val="000000" w:themeColor="text1"/>
        </w:rPr>
        <w:t xml:space="preserve"> </w:t>
      </w:r>
      <w:proofErr w:type="spellStart"/>
      <w:r w:rsidRPr="00C51CE2">
        <w:rPr>
          <w:color w:val="000000" w:themeColor="text1"/>
        </w:rPr>
        <w:t>Fiqh</w:t>
      </w:r>
      <w:proofErr w:type="spellEnd"/>
      <w:r w:rsidRPr="00C51CE2">
        <w:rPr>
          <w:color w:val="000000" w:themeColor="text1"/>
        </w:rPr>
        <w:t>, Arabic, and Islamic Cultural History, in addition to general subject matters</w:t>
      </w:r>
      <w:r>
        <w:rPr>
          <w:color w:val="000000" w:themeColor="text1"/>
        </w:rPr>
        <w:t xml:space="preserve"> </w:t>
      </w:r>
      <w:r>
        <w:rPr>
          <w:color w:val="000000" w:themeColor="text1"/>
        </w:rPr>
        <w:fldChar w:fldCharType="begin" w:fldLock="1"/>
      </w:r>
      <w:r>
        <w:rPr>
          <w:color w:val="000000" w:themeColor="text1"/>
        </w:rPr>
        <w:instrText>ADDIN CSL_CITATION {"citationItems":[{"id":"ITEM-1","itemData":{"DOI":"10.21093/di.v20i1.2215","ISSN":"1411-3031","abstract":"This research is aimed to investigate characteristics of curriculum used by Madrasah Aliyah in Samarinda, East Kalimantan. Specifically, document analysis and interview were used to capture the characteristics of curriculum particularly in terms of its structure and development procedures. This research was done in four different Madrasah Aliyah in Samarinda i.e. Madrasah Aliyah (MAN) 2, Madrasah Aliyah (MA) Darul Ihsan, Madrasah Aliyah (MA) Al-Mujahidin, and Madrasah Aliyah (MA) An-Nur. The findings in this research indicate that all Madrasah Aliyah researched in this study have conducted suitable curriculum implementation which is in accordance with Indonesian Educational National Standards that include four aspects i.e. 1) subject course which is divided into compulsory and elective courses; b) local course which include local course programs and values; c) soft skills which contain enforcement of students’ interest such as in the area of language study, arts, sports, and theology; and d) life skills which comprise scouting program and special skills. In addition, the structure of curriculum of all Madrasah Aliyah in this study already contained the main objective of a proper curriculum including course subject, local course, soft skills, life skills, decent spiritual and social behaviors, and special skills. Finally, the future implication is provided in discussion part of the research.","author":[{"dropping-particle":"","family":"Nasir","given":"Muhammad","non-dropping-particle":"","parse-names":false,"suffix":""}],"container-title":"Dinamika Ilmu","id":"ITEM-1","issue":"1","issued":{"date-parts":[["2020"]]},"page":"95-105","title":"Curriculum characteristics of madrasah aliyah in East Kalimantan","type":"article-journal","volume":"20"},"uris":["http://www.mendeley.com/documents/?uuid=8bfe9710-a5e3-40e5-bf9d-5beeb5785466"]}],"mendeley":{"formattedCitation":"(Nasir, 2020)","plainTextFormattedCitation":"(Nasir, 2020)","previouslyFormattedCitation":"(Nasir, 2020)"},"properties":{"noteIndex":0},"schema":"https://github.com/citation-style-language/schema/raw/master/csl-citation.json"}</w:instrText>
      </w:r>
      <w:r>
        <w:rPr>
          <w:color w:val="000000" w:themeColor="text1"/>
        </w:rPr>
        <w:fldChar w:fldCharType="separate"/>
      </w:r>
      <w:r w:rsidRPr="00824192">
        <w:rPr>
          <w:noProof/>
          <w:color w:val="000000" w:themeColor="text1"/>
        </w:rPr>
        <w:t>(Nasir, 2020)</w:t>
      </w:r>
      <w:r>
        <w:rPr>
          <w:color w:val="000000" w:themeColor="text1"/>
        </w:rPr>
        <w:fldChar w:fldCharType="end"/>
      </w:r>
      <w:r w:rsidRPr="00C51CE2">
        <w:rPr>
          <w:rFonts w:eastAsia="Calibri"/>
          <w:color w:val="000000" w:themeColor="text1"/>
          <w:lang w:val="en-US"/>
        </w:rPr>
        <w:t xml:space="preserve">. Unlike Islamic high schools, public high schools may have students from various faith, such as Muslims, Christian, Buddhists, Hindus, or Kong Fu </w:t>
      </w:r>
      <w:proofErr w:type="spellStart"/>
      <w:r w:rsidRPr="00C51CE2">
        <w:rPr>
          <w:rFonts w:eastAsia="Calibri"/>
          <w:color w:val="000000" w:themeColor="text1"/>
          <w:lang w:val="en-US"/>
        </w:rPr>
        <w:t>Tsu</w:t>
      </w:r>
      <w:proofErr w:type="spellEnd"/>
      <w:r w:rsidRPr="00C51CE2">
        <w:rPr>
          <w:rFonts w:eastAsia="Calibri"/>
          <w:color w:val="000000" w:themeColor="text1"/>
          <w:lang w:val="en-US"/>
        </w:rPr>
        <w:t xml:space="preserve">. In this case, they have to provide faith-based religious subject matters for religious education. Demographically, all provinces in Indonesia have Islamic high schools, although they are fewer numbers compared to public high schools. In 2021, there were 13,995 high schools and 9,448 Islamic high schools </w:t>
      </w:r>
      <w:r>
        <w:rPr>
          <w:rFonts w:eastAsia="Calibri"/>
          <w:color w:val="000000" w:themeColor="text1"/>
          <w:lang w:val="en-US"/>
        </w:rPr>
        <w:fldChar w:fldCharType="begin" w:fldLock="1"/>
      </w:r>
      <w:r>
        <w:rPr>
          <w:rFonts w:eastAsia="Calibri"/>
          <w:color w:val="000000" w:themeColor="text1"/>
          <w:lang w:val="en-US"/>
        </w:rPr>
        <w:instrText>ADDIN CSL_CITATION {"citationItems":[{"id":"ITEM-1","itemData":{"URL":"https://www.bps.go.id/indikator/indikator/view_data_pub/0000/api_pub/a1lFcnlHNXNYMFlueG8xL0ZOZnU0Zz09/da_04/1","author":[{"dropping-particle":"","family":"Badan Pusat Statistik","given":"","non-dropping-particle":"","parse-names":false,"suffix":""}],"container-title":"Badan Pusat Statistik","id":"ITEM-1","issued":{"date-parts":[["2021"]]},"title":"Jumlah Sekolah, Guru, dan Murid menurut","type":"webpage"},"uris":["http://www.mendeley.com/documents/?uuid=6cb99f07-664e-497f-bcf7-65c04e18f04a"]}],"mendeley":{"formattedCitation":"(Badan Pusat Statistik, 2021)","plainTextFormattedCitation":"(Badan Pusat Statistik, 2021)"},"properties":{"noteIndex":0},"schema":"https://github.com/citation-style-language/schema/raw/master/csl-citation.json"}</w:instrText>
      </w:r>
      <w:r>
        <w:rPr>
          <w:rFonts w:eastAsia="Calibri"/>
          <w:color w:val="000000" w:themeColor="text1"/>
          <w:lang w:val="en-US"/>
        </w:rPr>
        <w:fldChar w:fldCharType="separate"/>
      </w:r>
      <w:r w:rsidRPr="00C0219F">
        <w:rPr>
          <w:rFonts w:eastAsia="Calibri"/>
          <w:noProof/>
          <w:color w:val="000000" w:themeColor="text1"/>
          <w:lang w:val="en-US"/>
        </w:rPr>
        <w:t>(Badan Pusat Statistik, 2021)</w:t>
      </w:r>
      <w:r>
        <w:rPr>
          <w:rFonts w:eastAsia="Calibri"/>
          <w:color w:val="000000" w:themeColor="text1"/>
          <w:lang w:val="en-US"/>
        </w:rPr>
        <w:fldChar w:fldCharType="end"/>
      </w:r>
      <w:r>
        <w:rPr>
          <w:rFonts w:eastAsia="Calibri"/>
          <w:color w:val="000000" w:themeColor="text1"/>
          <w:lang w:val="en-US"/>
        </w:rPr>
        <w:t>.</w:t>
      </w:r>
    </w:p>
    <w:p w14:paraId="12BCAF7F" w14:textId="77777777" w:rsidR="004B334D" w:rsidRPr="00C51CE2" w:rsidRDefault="004B334D" w:rsidP="004B334D">
      <w:pPr>
        <w:pStyle w:val="NormalWeb"/>
        <w:spacing w:before="0" w:beforeAutospacing="0" w:after="0" w:afterAutospacing="0"/>
        <w:jc w:val="both"/>
        <w:rPr>
          <w:color w:val="000000" w:themeColor="text1"/>
        </w:rPr>
      </w:pPr>
    </w:p>
    <w:p w14:paraId="6BA563AA" w14:textId="77777777" w:rsidR="004B334D" w:rsidRPr="00C51CE2" w:rsidRDefault="004B334D" w:rsidP="004B334D">
      <w:pPr>
        <w:widowControl w:val="0"/>
        <w:autoSpaceDE w:val="0"/>
        <w:autoSpaceDN w:val="0"/>
        <w:adjustRightInd w:val="0"/>
        <w:jc w:val="both"/>
        <w:rPr>
          <w:color w:val="000000" w:themeColor="text1"/>
        </w:rPr>
      </w:pPr>
      <w:r w:rsidRPr="00C51CE2">
        <w:rPr>
          <w:color w:val="000000" w:themeColor="text1"/>
        </w:rPr>
        <w:t xml:space="preserve">Psychologically, those who pursue their senior secondary education at Islamic and public high schools are teenagers </w:t>
      </w:r>
      <w:r w:rsidRPr="00C51CE2">
        <w:rPr>
          <w:color w:val="000000" w:themeColor="text1"/>
        </w:rPr>
        <w:fldChar w:fldCharType="begin" w:fldLock="1"/>
      </w:r>
      <w:r w:rsidRPr="00C51CE2">
        <w:rPr>
          <w:color w:val="000000" w:themeColor="text1"/>
        </w:rPr>
        <w:instrText>ADDIN CSL_CITATION {"citationItems":[{"id":"ITEM-1","itemData":{"ISBN":"9781118772683","abstract":"This study departs from the reality of gender relations within the family institution which has to be dikhotomis, causing the pole inequality relations between men and women. Therefore, in this study wanted to dismantle the detail view of some theories, both social and feminist about gender relations in the family. Each of these theories (structural functional, conflict and feminist) has their own viewpoint about the pattern of gender relations in the family. However, simultaneously acknowledging that the social construction of culture remained significant influence on the division of roles are played by men (husbands) and women (wife) in the family institution. This means that the social construction of culture was instrumental in the creation of relations contribute between men and women equally or otherwise occurred inequality.","author":[{"dropping-particle":"","family":"Belser","given":"","non-dropping-particle":"","parse-names":false,"suffix":""}],"chapter-number":"1","container-title":"Counseling Children and Adolescents","editor":[{"dropping-particle":"","family":"Ziomek-Daigle","given":"Jolie","non-dropping-particle":"","parse-names":false,"suffix":""}],"id":"ITEM-1","issued":{"date-parts":[["2017"]]},"page":"12-42","publisher":"Routledge","publisher-place":"New York","title":"Counseling and psychotherapy with children and adolescents: Theories and practices","type":"chapter"},"uris":["http://www.mendeley.com/documents/?uuid=0bd32019-7f00-4a5d-bbea-2ad4bba9b189"]}],"mendeley":{"formattedCitation":"(Belser, 2017)","plainTextFormattedCitation":"(Belser, 2017)","previouslyFormattedCitation":"(Belser, 2017)"},"properties":{"noteIndex":0},"schema":"https://github.com/citation-style-language/schema/raw/master/csl-citation.json"}</w:instrText>
      </w:r>
      <w:r w:rsidRPr="00C51CE2">
        <w:rPr>
          <w:color w:val="000000" w:themeColor="text1"/>
        </w:rPr>
        <w:fldChar w:fldCharType="separate"/>
      </w:r>
      <w:r w:rsidRPr="00C51CE2">
        <w:rPr>
          <w:noProof/>
          <w:color w:val="000000" w:themeColor="text1"/>
        </w:rPr>
        <w:t>(Belser, 2017)</w:t>
      </w:r>
      <w:r w:rsidRPr="00C51CE2">
        <w:rPr>
          <w:color w:val="000000" w:themeColor="text1"/>
        </w:rPr>
        <w:fldChar w:fldCharType="end"/>
      </w:r>
      <w:r w:rsidRPr="00C51CE2">
        <w:rPr>
          <w:color w:val="000000" w:themeColor="text1"/>
        </w:rPr>
        <w:t xml:space="preserve">. They have similar developmental tasks </w:t>
      </w:r>
      <w:r w:rsidRPr="00C51CE2">
        <w:rPr>
          <w:color w:val="000000" w:themeColor="text1"/>
        </w:rPr>
        <w:fldChar w:fldCharType="begin" w:fldLock="1"/>
      </w:r>
      <w:r w:rsidRPr="00C51CE2">
        <w:rPr>
          <w:color w:val="000000" w:themeColor="text1"/>
        </w:rPr>
        <w:instrText>ADDIN CSL_CITATION {"citationItems":[{"id":"ITEM-1","itemData":{"author":[{"dropping-particle":"","family":"Manning","given":"M L E E","non-dropping-particle":"","parse-names":false,"suffix":""}],"container-title":"The Clearing House","id":"ITEM-1","issue":"2","issued":{"date-parts":[["2016"]]},"page":"75-78","title":"Havighurst's developmental tasks, young adolescents, and diversity","type":"article-journal","volume":"76"},"uris":["http://www.mendeley.com/documents/?uuid=3f6b2034-1125-4ba8-9c7a-36aae150537a"]}],"mendeley":{"formattedCitation":"(Manning, 2016)","plainTextFormattedCitation":"(Manning, 2016)","previouslyFormattedCitation":"(Manning, 2016)"},"properties":{"noteIndex":0},"schema":"https://github.com/citation-style-language/schema/raw/master/csl-citation.json"}</w:instrText>
      </w:r>
      <w:r w:rsidRPr="00C51CE2">
        <w:rPr>
          <w:color w:val="000000" w:themeColor="text1"/>
        </w:rPr>
        <w:fldChar w:fldCharType="separate"/>
      </w:r>
      <w:r w:rsidRPr="00C51CE2">
        <w:rPr>
          <w:noProof/>
          <w:color w:val="000000" w:themeColor="text1"/>
        </w:rPr>
        <w:t>(Manning, 2016)</w:t>
      </w:r>
      <w:r w:rsidRPr="00C51CE2">
        <w:rPr>
          <w:color w:val="000000" w:themeColor="text1"/>
        </w:rPr>
        <w:fldChar w:fldCharType="end"/>
      </w:r>
      <w:r w:rsidRPr="00C51CE2">
        <w:rPr>
          <w:color w:val="000000" w:themeColor="text1"/>
        </w:rPr>
        <w:t xml:space="preserve">. Concerning multicultural, they may consist of having attitudes toward self and cultural identity and learning to get along with peers of all cultures </w:t>
      </w:r>
      <w:r w:rsidRPr="00C51CE2">
        <w:rPr>
          <w:color w:val="000000" w:themeColor="text1"/>
        </w:rPr>
        <w:fldChar w:fldCharType="begin" w:fldLock="1"/>
      </w:r>
      <w:r w:rsidRPr="00C51CE2">
        <w:rPr>
          <w:color w:val="000000" w:themeColor="text1"/>
        </w:rPr>
        <w:instrText>ADDIN CSL_CITATION {"citationItems":[{"id":"ITEM-1","itemData":{"DOI":"10.1086/442319","ISSN":"0036-6773","author":[{"dropping-particle":"","family":"Havighurst","given":"Robert J.","non-dropping-particle":"","parse-names":false,"suffix":""}],"container-title":"The School Review","id":"ITEM-1","issue":"5","issued":{"date-parts":[["1956"]]},"page":"215-223","title":"Research on the Developmental-Task Concept","type":"article-journal","volume":"64"},"uris":["http://www.mendeley.com/documents/?uuid=f542b1b2-88cb-438d-bdc7-56e1ce5a7c85"]}],"mendeley":{"formattedCitation":"(Havighurst, 1956)","plainTextFormattedCitation":"(Havighurst, 1956)","previouslyFormattedCitation":"(Havighurst, 1956)"},"properties":{"noteIndex":0},"schema":"https://github.com/citation-style-language/schema/raw/master/csl-citation.json"}</w:instrText>
      </w:r>
      <w:r w:rsidRPr="00C51CE2">
        <w:rPr>
          <w:color w:val="000000" w:themeColor="text1"/>
        </w:rPr>
        <w:fldChar w:fldCharType="separate"/>
      </w:r>
      <w:r w:rsidRPr="00C51CE2">
        <w:rPr>
          <w:noProof/>
          <w:color w:val="000000" w:themeColor="text1"/>
        </w:rPr>
        <w:t>(Havighurst, 1956)</w:t>
      </w:r>
      <w:r w:rsidRPr="00C51CE2">
        <w:rPr>
          <w:color w:val="000000" w:themeColor="text1"/>
        </w:rPr>
        <w:fldChar w:fldCharType="end"/>
      </w:r>
      <w:r w:rsidRPr="00C51CE2">
        <w:rPr>
          <w:color w:val="000000" w:themeColor="text1"/>
        </w:rPr>
        <w:t xml:space="preserve">. Those who can achieve the tasks will have a chance to build a harmonious relationships with peers of different cultures or religions at school. Next, a multicultural atmosphere will influence student learning, increase interrelationship, and lessen cultural conflict. In </w:t>
      </w:r>
      <w:proofErr w:type="spellStart"/>
      <w:r w:rsidRPr="00C51CE2">
        <w:rPr>
          <w:color w:val="000000" w:themeColor="text1"/>
        </w:rPr>
        <w:t>Delors’s</w:t>
      </w:r>
      <w:proofErr w:type="spellEnd"/>
      <w:r w:rsidRPr="00C51CE2">
        <w:rPr>
          <w:color w:val="000000" w:themeColor="text1"/>
        </w:rPr>
        <w:t xml:space="preserve"> perspective </w:t>
      </w:r>
      <w:r w:rsidRPr="00C51CE2">
        <w:rPr>
          <w:color w:val="000000" w:themeColor="text1"/>
        </w:rPr>
        <w:fldChar w:fldCharType="begin" w:fldLock="1"/>
      </w:r>
      <w:r w:rsidRPr="00C51CE2">
        <w:rPr>
          <w:color w:val="000000" w:themeColor="text1"/>
        </w:rPr>
        <w:instrText>ADDIN CSL_CITATION {"citationItems":[{"id":"ITEM-1","itemData":{"author":[{"dropping-particle":"","family":"Delors","given":"Jacques","non-dropping-particle":"","parse-names":false,"suffix":""}],"id":"ITEM-1","issued":{"date-parts":[["1996"]]},"number-of-pages":"46","title":"Learning: The treasure within","type":"report"},"suppress-author":1,"uris":["http://www.mendeley.com/documents/?uuid=12f00112-a6f8-4054-9c6b-fb2c07a6bb48"]}],"mendeley":{"formattedCitation":"(1996)","plainTextFormattedCitation":"(1996)","previouslyFormattedCitation":"(1996)"},"properties":{"noteIndex":0},"schema":"https://github.com/citation-style-language/schema/raw/master/csl-citation.json"}</w:instrText>
      </w:r>
      <w:r w:rsidRPr="00C51CE2">
        <w:rPr>
          <w:color w:val="000000" w:themeColor="text1"/>
        </w:rPr>
        <w:fldChar w:fldCharType="separate"/>
      </w:r>
      <w:r w:rsidRPr="00C51CE2">
        <w:rPr>
          <w:noProof/>
          <w:color w:val="000000" w:themeColor="text1"/>
        </w:rPr>
        <w:t>(1996)</w:t>
      </w:r>
      <w:r w:rsidRPr="00C51CE2">
        <w:rPr>
          <w:color w:val="000000" w:themeColor="text1"/>
        </w:rPr>
        <w:fldChar w:fldCharType="end"/>
      </w:r>
      <w:r w:rsidRPr="00C51CE2">
        <w:rPr>
          <w:color w:val="000000" w:themeColor="text1"/>
        </w:rPr>
        <w:t>, there is a need to promote a learning society in which students can learn to know, learn to do, learn to be, and learn to live together with others. With the emphasis on the fourth, students need to learn to accept, be tolerant, care for, and appreciate one another.</w:t>
      </w:r>
    </w:p>
    <w:p w14:paraId="42ED6A5E" w14:textId="77777777" w:rsidR="004B334D" w:rsidRPr="00C51CE2" w:rsidRDefault="004B334D" w:rsidP="004B334D">
      <w:pPr>
        <w:pStyle w:val="NormalWeb"/>
        <w:spacing w:before="0" w:beforeAutospacing="0" w:after="0" w:afterAutospacing="0"/>
        <w:jc w:val="both"/>
        <w:rPr>
          <w:color w:val="000000" w:themeColor="text1"/>
        </w:rPr>
      </w:pPr>
    </w:p>
    <w:p w14:paraId="29166A7F" w14:textId="77777777" w:rsidR="004B334D" w:rsidRPr="00C51CE2" w:rsidRDefault="004B334D" w:rsidP="004B334D">
      <w:pPr>
        <w:pStyle w:val="NormalWeb"/>
        <w:spacing w:before="0" w:beforeAutospacing="0" w:after="0" w:afterAutospacing="0"/>
        <w:jc w:val="both"/>
        <w:rPr>
          <w:color w:val="000000" w:themeColor="text1"/>
        </w:rPr>
      </w:pPr>
      <w:r w:rsidRPr="00C51CE2">
        <w:rPr>
          <w:color w:val="000000" w:themeColor="text1"/>
        </w:rPr>
        <w:t xml:space="preserve">The Islamic and public high school students in this area have to be the focus of attention since they will be part of a challenging, competitive, and more culturally diverse world. They have to possess a broad range of skills, such as cognitive and meta-cognitive skills, social and emotional skills, and practical and physical skills </w:t>
      </w:r>
      <w:r w:rsidRPr="00C51CE2">
        <w:rPr>
          <w:rFonts w:eastAsia="Times New Roman"/>
          <w:color w:val="000000" w:themeColor="text1"/>
          <w:lang w:val="en-PH"/>
        </w:rPr>
        <w:fldChar w:fldCharType="begin" w:fldLock="1"/>
      </w:r>
      <w:r w:rsidRPr="00C51CE2">
        <w:rPr>
          <w:rFonts w:eastAsia="Times New Roman"/>
          <w:color w:val="000000" w:themeColor="text1"/>
          <w:lang w:val="en-PH"/>
        </w:rPr>
        <w:instrText>ADDIN CSL_CITATION {"citationItems":[{"id":"ITEM-1","itemData":{"ISSN":"2095-1779","abstract":"A 79-year-old Japanese woman was admitted to our hospital for treatment of a pancreatic tumor measuring approximately 7 × 5 cm. The tumor had invaded the left adrenal gland and gastric wall and had penetrated into the gastric cavity. Surgical resection was performed. The tumor was composed of a brown to whitish solid area and a zone of hemorrhage, necrosis, and cystic degeneration resembling the gross features of solid pseudopapillary tumor (SPT). Histologically, the tumor showed a heterogeneous growth pattern with a combination of seat-like, trabecular, papillary and hemorrhagic-necrotic areas in various proportions. The differential diagnoses first considered were acinar cell carcinoma, neuroendocrine carcinoma and SPT with malignant transformation. Immunohistochemistry showed tumor cells were negative for pancreatic exocrine enzymes and endocrine markers. Tumor cells diffusely expressed cytokeratin 19, alpha-fetoprotein, carcinoembryonic antigen and glypican-3, but lacked vimentin or β-catenin expression. Small proportions of tumor cells expressed hepatocyte paraffin-1. Although typical morphological features of well-differentiated hepatocellular carcinoma (HCC) were not distinctly apparent, the tumor morphology partly resembled poorly differentiated HCC. Given these findings and considerations, the tumor was finally diagnosed as poorly differentiated hepatoid carcinoma of the pancreas.","author":[{"dropping-particle":"","family":"OECD","given":"","non-dropping-particle":"","parse-names":false,"suffix":""}],"container-title":"OECD Education Working Papers","id":"ITEM-1","issued":{"date-parts":[["2018"]]},"number-of-pages":"1-23","title":"The Future of education and skills: education 2030","type":"report"},"uris":["http://www.mendeley.com/documents/?uuid=a984171c-87de-4697-9907-3fb9a3b49e33"]}],"mendeley":{"formattedCitation":"(OECD, 2018)","plainTextFormattedCitation":"(OECD, 2018)","previouslyFormattedCitation":"(OECD, 2018)"},"properties":{"noteIndex":0},"schema":"https://github.com/citation-style-language/schema/raw/master/csl-citation.json"}</w:instrText>
      </w:r>
      <w:r w:rsidRPr="00C51CE2">
        <w:rPr>
          <w:rFonts w:eastAsia="Times New Roman"/>
          <w:color w:val="000000" w:themeColor="text1"/>
          <w:lang w:val="en-PH"/>
        </w:rPr>
        <w:fldChar w:fldCharType="separate"/>
      </w:r>
      <w:r w:rsidRPr="00C51CE2">
        <w:rPr>
          <w:rFonts w:eastAsia="Times New Roman"/>
          <w:noProof/>
          <w:color w:val="000000" w:themeColor="text1"/>
          <w:lang w:val="en-PH"/>
        </w:rPr>
        <w:t>(OECD, 2018)</w:t>
      </w:r>
      <w:r w:rsidRPr="00C51CE2">
        <w:rPr>
          <w:rFonts w:eastAsia="Times New Roman"/>
          <w:color w:val="000000" w:themeColor="text1"/>
          <w:lang w:val="en-PH"/>
        </w:rPr>
        <w:fldChar w:fldCharType="end"/>
      </w:r>
      <w:r w:rsidRPr="00C51CE2">
        <w:rPr>
          <w:rFonts w:eastAsia="Times New Roman"/>
          <w:color w:val="000000" w:themeColor="text1"/>
          <w:lang w:val="en-PH"/>
        </w:rPr>
        <w:t xml:space="preserve"> to engage in such a changing world. From the Islamic perspective </w:t>
      </w:r>
      <w:r w:rsidRPr="00C51CE2">
        <w:rPr>
          <w:color w:val="000000" w:themeColor="text1"/>
        </w:rPr>
        <w:fldChar w:fldCharType="begin" w:fldLock="1"/>
      </w:r>
      <w:r w:rsidRPr="00C51CE2">
        <w:rPr>
          <w:color w:val="000000" w:themeColor="text1"/>
        </w:rPr>
        <w:instrText>ADDIN CSL_CITATION {"citationItems":[{"id":"ITEM-1","itemData":{"abstract":"Islamic education in Indonesia has become a pillar of nationality. When the Proclamation has not been realized, Islamic education has become part of the dynamics of nationality. For this reason, this article specifically examines how Islamic education is in an effort to realize multicultural education as part of learning practices. With a multicultural based education process, it will provide opportunities for education staff, students, and the community to always accept differences. In this term, the opportunity to respect, appreciate and provide support to parties who different, will always be the value of education. Therefore, the idea of multicultural Islamic education is actually a demand and necessity of society. Hence, it takes practical steps to realize in the learning process that starts from curriculum development to learning techniques. This issue cannot be done by changing the curriculum structure, only a comprehensive effort is needed that integrates the principles of multicultural education in educational activities.","author":[{"dropping-particle":"","family":"Priatna","given":"Tedi","non-dropping-particle":"","parse-names":false,"suffix":""},{"dropping-particle":"","family":"Muntaha","given":"Payiz Zawahir","non-dropping-particle":"","parse-names":false,"suffix":""},{"dropping-particle":"","family":"Nurhamzah","given":"","non-dropping-particle":"","parse-names":false,"suffix":""}],"container-title":"American Journal of Humanities and Social Sciences Research (AJHSSR)","id":"ITEM-1","issue":"11","issued":{"date-parts":[["2019"]]},"page":"118-124","title":"Vision of Multicultural Islamic Education Paradigm in Indonesia","type":"article-journal","volume":"3"},"uris":["http://www.mendeley.com/documents/?uuid=8eeb2360-590d-463f-8f56-f90842cdd7e3"]},{"id":"ITEM-2","itemData":{"DOI":"10.2991/assehr.k.210805.060","abstract":"This paper discusses the importance of multicultural education. Multiculturalism itself is defined as cultural diversity, so humans should respect each other. Humans are social creatures who cannot live without the help of others. Therefore, it is important to understand multicultural education so that we can live side by side with other people of different religions, ethnicities, and different family / cultural backgrounds. Multicultural education in Islam is based on Q.S. Al-Hujurat verse 13. Multicultural education is instilled from an early age in school students, so here the role of the teacher is very large. This paper will provide and explain examples of multicultural education that we are used to. In writing this article, the approach used is a qualitative methodology with a type of literature study research. The conclusions obtained from the writing of this article are Islamic education with a multicultural perspective teaches how to live in the midst of the pluralism of the nation, so that they are able to live, both within their group and external to other groups, can live in peace with their environment, interpret differences framed in a single diversity. The basis for multicultural education in Islam, namely Q.S. Al-Hujurat verse 13. Teachers and schools have a very important role for the realization of multicultural education","author":[{"dropping-particle":"","family":"Prabowo","given":"Alfian Dewan Adhayuda","non-dropping-particle":"","parse-names":false,"suffix":""},{"dropping-particle":"","family":"Ilyas","given":"Hamim","non-dropping-particle":"","parse-names":false,"suffix":""}],"container-title":"Proceedings of the International Conference on Economics, Business, Social, and Humanities (ICEBSH 2021)","id":"ITEM-2","issue":"Icebsh","issued":{"date-parts":[["2021"]]},"page":"371-376","title":"Multicultural Education in Islamic Perspective","type":"article-journal","volume":"570"},"uris":["http://www.mendeley.com/documents/?uuid=7a0b5d8b-0add-428e-a80d-0a9a9322fcab"]},{"id":"ITEM-3","itemData":{"DOI":"10.24269/ijpi.v5i2.2891","ISSN":"2502-5732","abstract":"Multicultural education, a very strategic approach, is developed in the life of Indonesian society which has a variety of patterns in religion, ethnicity, ethnicity, and customs, all of which aim to live together in equality, strengthen and unite in the unity of the Unitary State of the Republic of Indonesia. In the concept of Islam, it also teaches multicultural education, so on this basis, the researcher wants to examine in depth how the idea of multicultural education is in the view of the philosophy of Islamic knowledge. This research uses a type of literature study research, the data which is the centre of this study is collected through variable data that is based on the writings, thoughts and opinions of figures and experts who talk about multiculturalism and the philosophy of Islamic education. This research results in a multicultural view that refers to the level of Islamic education that respects, appreciates and embraces all forms of diversity, tolerance, deliberation, cooperation and sharing so that it can be expected that people grow inequality seeing all forms of diversity to avoid fellow conflict.Pendidikan multikultural sebuah pendekatan yang sangat strategis dikembangkan dalam kehidupan bermasyarakat Indonesia yang bercorak beragam dalam agama, etnis, suku, adat istiadat yang tujuan semuanya itu untuk hidup bersama-sama dalam kesetaraan, memperkokoh serta mempersatukan dalam kesatuan Negera Kesatuan Republik Indonesia. Dalam konsep Islam pun mengajarkan tentang pendidikan multikultural, maka atas dasar ini peneliti ingin mengkaji secara mendalam bagaimana konsep pendidikan multikultural dalam pandangan filsafat pendidikan Islam. Penelitian ini menggunakan jenis penelitian studi pustaka, data yang menjadi pusat studi ini dikumpulkan melalui data variabel yang bertumpu pada tulisan, pemikiran, dan pendapat para tokoh dan pakar yang berbicara tentang multikultural dan filsafat Pendidikan Islam. Penelitian ini menghasilkan dalam pandangan multikultural yang mengacu pada tataran pendidikan Islam yang saling menghormati, menghargai dan merangkul semua bentuk keanekaragaman, bertoleransi, bermusyawarah, gotong royong dan saling berbagi, sehingga dengan demikian dapat diharapkan bagi masyarakat tumbuh dalam kesetaraan melihat segala bentuk keberagaman agar terhindar dari konflik sesama.","author":[{"dropping-particle":"","family":"Bahri","given":"Saiful","non-dropping-particle":"","parse-names":false,"suffix":""}],"container-title":"Istawa : Jurnal Pendidikan Islam","id":"ITEM-3","issue":"2","issued":{"date-parts":[["2020"]]},"page":"239","title":"Multicultural Education In Islamic Education Philosophy Perspective","type":"article-journal","volume":"5"},"uris":["http://www.mendeley.com/documents/?uuid=192b6ce3-c771-4b90-9e79-a433fbd1f4c5"]},{"id":"ITEM-4","itemData":{"abstract":"… to be one of the pillars of peace, well-being, happiness, and harmony of life of … thinking of learners to truly appreciate the genuine diversity of ethnicity, religion, race, and intergroup … so as to create human beings (citizens) were able to resolve intercultural conflict without violence …","author":[{"dropping-particle":"","family":"Rosyad","given":"A M","non-dropping-particle":"","parse-names":false,"suffix":""}],"container-title":"al-Afkar, Journal For Islamic Studies","id":"ITEM-4","issue":"1","issued":{"date-parts":[["2020"]]},"page":"164-181","title":"the Integration of Islamic Education and Multicultural Education in Indonesia","type":"article-journal","volume":"3"},"uris":["http://www.mendeley.com/documents/?uuid=8e4bc9c0-1c41-4239-a028-1fe0ad72c9c0"]}],"mendeley":{"formattedCitation":"(Bahri, 2020; Prabowo &amp; Ilyas, 2021; Priatna et al., 2019; Rosyad, 2020)","plainTextFormattedCitation":"(Bahri, 2020; Prabowo &amp; Ilyas, 2021; Priatna et al., 2019; Rosyad, 2020)","previouslyFormattedCitation":"(Bahri, 2020; Prabowo &amp; Ilyas, 2021; Priatna et al., 2019; Rosyad, 2020)"},"properties":{"noteIndex":0},"schema":"https://github.com/citation-style-language/schema/raw/master/csl-citation.json"}</w:instrText>
      </w:r>
      <w:r w:rsidRPr="00C51CE2">
        <w:rPr>
          <w:color w:val="000000" w:themeColor="text1"/>
        </w:rPr>
        <w:fldChar w:fldCharType="separate"/>
      </w:r>
      <w:r w:rsidRPr="00C51CE2">
        <w:rPr>
          <w:noProof/>
          <w:color w:val="000000" w:themeColor="text1"/>
        </w:rPr>
        <w:t>(Bahri, 2020; Prabowo &amp; Ilyas, 2021; Priatna et al., 2019; Rosyad, 2020)</w:t>
      </w:r>
      <w:r w:rsidRPr="00C51CE2">
        <w:rPr>
          <w:color w:val="000000" w:themeColor="text1"/>
        </w:rPr>
        <w:fldChar w:fldCharType="end"/>
      </w:r>
      <w:r w:rsidRPr="00C51CE2">
        <w:rPr>
          <w:color w:val="000000" w:themeColor="text1"/>
        </w:rPr>
        <w:t>, multicultural competencies are one of the objectives of multicultural education. According to</w:t>
      </w:r>
      <w:r>
        <w:rPr>
          <w:color w:val="000000" w:themeColor="text1"/>
        </w:rPr>
        <w:t xml:space="preserve"> </w:t>
      </w:r>
      <w:r>
        <w:rPr>
          <w:color w:val="000000" w:themeColor="text1"/>
        </w:rPr>
        <w:fldChar w:fldCharType="begin" w:fldLock="1"/>
      </w:r>
      <w:r>
        <w:rPr>
          <w:color w:val="000000" w:themeColor="text1"/>
        </w:rPr>
        <w:instrText>ADDIN CSL_CITATION {"citationItems":[{"id":"ITEM-1","itemData":{"author":[{"dropping-particle":"","family":"Banks","given":"James A.","non-dropping-particle":"","parse-names":false,"suffix":""}],"chapter-number":"17","container-title":"Multicultural Education and Global Citizen","editor":[{"dropping-particle":"","family":"Benet-Martínez","given":"","non-dropping-particle":"","parse-names":false,"suffix":""},{"dropping-particle":"","family":"Ying-Yi Hong","given":"","non-dropping-particle":"","parse-names":false,"suffix":""}],"id":"ITEM-1","issued":{"date-parts":[["2014"]]},"page":"561","publisher":"Oxfor Library of Psychology","publisher-place":"New York","title":"Multicultural education and global citizen","type":"chapter"},"uris":["http://www.mendeley.com/documents/?uuid=1d1f7806-75ad-449d-a3b6-504b9e3e3f58"]}],"mendeley":{"formattedCitation":"(Banks, 2014)","plainTextFormattedCitation":"(Banks, 2014)","previouslyFormattedCitation":"(Banks, 2014)"},"properties":{"noteIndex":0},"schema":"https://github.com/citation-style-language/schema/raw/master/csl-citation.json"}</w:instrText>
      </w:r>
      <w:r>
        <w:rPr>
          <w:color w:val="000000" w:themeColor="text1"/>
        </w:rPr>
        <w:fldChar w:fldCharType="separate"/>
      </w:r>
      <w:r w:rsidRPr="00824192">
        <w:rPr>
          <w:noProof/>
          <w:color w:val="000000" w:themeColor="text1"/>
        </w:rPr>
        <w:t>(Banks, 2014)</w:t>
      </w:r>
      <w:r>
        <w:rPr>
          <w:color w:val="000000" w:themeColor="text1"/>
        </w:rPr>
        <w:fldChar w:fldCharType="end"/>
      </w:r>
      <w:r w:rsidRPr="00C51CE2">
        <w:rPr>
          <w:color w:val="000000" w:themeColor="text1"/>
        </w:rPr>
        <w:t xml:space="preserve">, the objectives could encompass content integration, knowledge construction process, prejudice reduction equity pedagogy, and empowering school culture and social structure dimensions. As part of the Islamic and public high school systems, school counseling has a significant role in developing students’ multicultural self-efficacy and meeting the needs of diverse students </w:t>
      </w:r>
      <w:r w:rsidRPr="00C51CE2">
        <w:rPr>
          <w:color w:val="000000" w:themeColor="text1"/>
        </w:rPr>
        <w:fldChar w:fldCharType="begin" w:fldLock="1"/>
      </w:r>
      <w:r w:rsidRPr="00C51CE2">
        <w:rPr>
          <w:color w:val="000000" w:themeColor="text1"/>
        </w:rPr>
        <w:instrText>ADDIN CSL_CITATION {"citationItems":[{"id":"ITEM-1","itemData":{"DOI":"https://doi.org/10.4148/0146-9282.113","author":[{"dropping-particle":"","family":"Hughey","given":"Judy R","non-dropping-particle":"","parse-names":false,"suffix":""}],"container-title":"Educational Considerations","id":"ITEM-1","issue":"2","issued":{"date-parts":[["2011"]]},"page":"20-27","title":"Meeting the needs of diverse students: enhancing school counselors ’ experiences","type":"article-journal","volume":"38"},"uris":["http://www.mendeley.com/documents/?uuid=71254710-fec5-4801-89a0-cbe16e03a3f8"]}],"mendeley":{"formattedCitation":"(Hughey, 2011)","plainTextFormattedCitation":"(Hughey, 2011)","previouslyFormattedCitation":"(Hughey, 2011)"},"properties":{"noteIndex":0},"schema":"https://github.com/citation-style-language/schema/raw/master/csl-citation.json"}</w:instrText>
      </w:r>
      <w:r w:rsidRPr="00C51CE2">
        <w:rPr>
          <w:color w:val="000000" w:themeColor="text1"/>
        </w:rPr>
        <w:fldChar w:fldCharType="separate"/>
      </w:r>
      <w:r w:rsidRPr="00C51CE2">
        <w:rPr>
          <w:noProof/>
          <w:color w:val="000000" w:themeColor="text1"/>
        </w:rPr>
        <w:t>(Hughey, 2011)</w:t>
      </w:r>
      <w:r w:rsidRPr="00C51CE2">
        <w:rPr>
          <w:color w:val="000000" w:themeColor="text1"/>
        </w:rPr>
        <w:fldChar w:fldCharType="end"/>
      </w:r>
      <w:r w:rsidRPr="00C51CE2">
        <w:rPr>
          <w:color w:val="000000" w:themeColor="text1"/>
        </w:rPr>
        <w:t>. Facilitating them will help the students to have encouragement to be part of building school culture efforts.</w:t>
      </w:r>
    </w:p>
    <w:p w14:paraId="5C005583" w14:textId="77777777" w:rsidR="004B334D" w:rsidRPr="00C51CE2" w:rsidRDefault="004B334D" w:rsidP="004B334D">
      <w:pPr>
        <w:pStyle w:val="NormalWeb"/>
        <w:spacing w:before="0" w:beforeAutospacing="0" w:after="0" w:afterAutospacing="0"/>
        <w:jc w:val="both"/>
        <w:rPr>
          <w:color w:val="000000" w:themeColor="text1"/>
        </w:rPr>
      </w:pPr>
    </w:p>
    <w:p w14:paraId="13DD7874" w14:textId="77777777" w:rsidR="004B334D" w:rsidRPr="00C51CE2" w:rsidRDefault="004B334D" w:rsidP="004B334D">
      <w:pPr>
        <w:pStyle w:val="NormalWeb"/>
        <w:spacing w:before="0" w:beforeAutospacing="0" w:after="0" w:afterAutospacing="0"/>
        <w:jc w:val="both"/>
        <w:rPr>
          <w:color w:val="000000" w:themeColor="text1"/>
        </w:rPr>
      </w:pPr>
      <w:r w:rsidRPr="00C51CE2">
        <w:rPr>
          <w:color w:val="000000" w:themeColor="text1"/>
        </w:rPr>
        <w:t xml:space="preserve">Developing multicultural self-efficacy in students is not an easy task for school counselors since culture itself is a multidimensional concept, a unique type of knowledge system </w:t>
      </w:r>
      <w:r w:rsidRPr="00C51CE2">
        <w:rPr>
          <w:color w:val="000000" w:themeColor="text1"/>
        </w:rPr>
        <w:fldChar w:fldCharType="begin" w:fldLock="1"/>
      </w:r>
      <w:r w:rsidRPr="00C51CE2">
        <w:rPr>
          <w:color w:val="000000" w:themeColor="text1"/>
        </w:rPr>
        <w:instrText>ADDIN CSL_CITATION {"citationItems":[{"id":"ITEM-1","itemData":{"ISBN":"978-0-19-979669-4","author":[{"dropping-particle":"","family":"Hong","given":"Ying-Yi","non-dropping-particle":"","parse-names":false,"suffix":""},{"dropping-particle":"","family":"Khei","given":"Mark","non-dropping-particle":"","parse-names":false,"suffix":""}],"edition":"1st","editor":[{"dropping-particle":"","family":"Benet-Martinez","given":"Veronica","non-dropping-particle":"","parse-names":false,"suffix":""},{"dropping-particle":"","family":"Hong","given":"Ying-Yi","non-dropping-particle":"","parse-names":false,"suffix":""}],"id":"ITEM-1","issued":{"date-parts":[["2014"]]},"page":"561","publisher":"Oxford University Press","publisher-place":"New York","title":"The Oxford Handbook of Multicultural Identity","type":"chapter"},"uris":["http://www.mendeley.com/documents/?uuid=a50d40c4-0cfc-460f-b7c8-498d44815f5b"]}],"mendeley":{"formattedCitation":"(Y.-Y. Hong &amp; Khei, 2014)","manualFormatting":"(Hong &amp; Khei, 2014)","plainTextFormattedCitation":"(Y.-Y. Hong &amp; Khei, 2014)","previouslyFormattedCitation":"(Y.-Y. Hong &amp; Khei, 2014)"},"properties":{"noteIndex":0},"schema":"https://github.com/citation-style-language/schema/raw/master/csl-citation.json"}</w:instrText>
      </w:r>
      <w:r w:rsidRPr="00C51CE2">
        <w:rPr>
          <w:color w:val="000000" w:themeColor="text1"/>
        </w:rPr>
        <w:fldChar w:fldCharType="separate"/>
      </w:r>
      <w:r w:rsidRPr="00C51CE2">
        <w:rPr>
          <w:noProof/>
          <w:color w:val="000000" w:themeColor="text1"/>
        </w:rPr>
        <w:t>(Hong &amp; Khei, 2014)</w:t>
      </w:r>
      <w:r w:rsidRPr="00C51CE2">
        <w:rPr>
          <w:color w:val="000000" w:themeColor="text1"/>
        </w:rPr>
        <w:fldChar w:fldCharType="end"/>
      </w:r>
      <w:r w:rsidRPr="00C51CE2">
        <w:rPr>
          <w:color w:val="000000" w:themeColor="text1"/>
        </w:rPr>
        <w:t xml:space="preserve">, social construction </w:t>
      </w:r>
      <w:r w:rsidRPr="00C51CE2">
        <w:rPr>
          <w:color w:val="000000" w:themeColor="text1"/>
        </w:rPr>
        <w:fldChar w:fldCharType="begin" w:fldLock="1"/>
      </w:r>
      <w:r w:rsidRPr="00C51CE2">
        <w:rPr>
          <w:color w:val="000000" w:themeColor="text1"/>
        </w:rPr>
        <w:instrText>ADDIN CSL_CITATION {"citationItems":[{"id":"ITEM-1","itemData":{"DOI":"10.1525/aa.2002.104.1.106","ISSN":"0002-7294","abstract":"If we distinguish culture (embodied in individuals) from cultures (embodied in the superorganic properties of groups), we make it possible to accommodate the observation that individuals vary, make choices, and exert control over their lives with the observation that those same individuals find themselves constrained by recurrent patterns with properties of things. This shift in perspective makes the central problem for ethnography the identification and description of the evolving configurations of cognition, emotion, and behavior at the intersection of evolving, individually unique cultural sets. Principal components analysis of similarities among informants identifies and describes this intersection and its important variations precisely. Ordinary least squares and logistic multiple regressions test for plausible antecedents of intracultural and intercultural variation, respectively. I illustrate with data on cultural diversity in the relative importance of components that make up a partnership between parents and teachers in the United States and in how to organize these components effectively. I demonstrate the existence of a single model of the importance of these components, with intracultural variation. I demonstrate the existence of two cultural models of how to organize these components into effective parent- teacher partnerships (Separate but Equal and Mutual Decision Makers). Discordance between these cultures and the social identities of the cultural participants validates Keesing's claim that culture is not bounded in ways many people have long assumed. The shift in perspective that reconciles Sapir and Kroeber points past culture theory to a theory of culture. As we work out the details, it will also help us make ethnographic sense out of the contemporary world and give us a better grasp of the past one.","author":[{"dropping-particle":"","family":"Handwerker","given":"W. Penn","non-dropping-particle":"","parse-names":false,"suffix":""}],"container-title":"American Anthropologist","id":"ITEM-1","issue":"1","issued":{"date-parts":[["2002"]]},"page":"106-122","title":"The Construct Validity of Cultures: Cultural Diversity, Culture Theory, and a Method for Ethnography","type":"article-journal","volume":"104"},"uris":["http://www.mendeley.com/documents/?uuid=99a5a8c8-3db0-429e-a180-7d8ee1d1d564"]},{"id":"ITEM-2","itemData":{"DOI":"10.1111/ejop.12033","author":[{"dropping-particle":"","family":"Diaz-Leon","given":"E.","non-dropping-particle":"","parse-names":false,"suffix":""}],"id":"ITEM-2","issued":{"date-parts":[["2013"]]},"page":"1137-1152","title":"What Is social construction ?","type":"article-journal"},"uris":["http://www.mendeley.com/documents/?uuid=38a46b1d-cd97-403c-a53e-a297543ce187"]}],"mendeley":{"formattedCitation":"(Diaz-Leon, 2013; Handwerker, 2002)","plainTextFormattedCitation":"(Diaz-Leon, 2013; Handwerker, 2002)","previouslyFormattedCitation":"(Diaz-Leon, 2013; Handwerker, 2002)"},"properties":{"noteIndex":0},"schema":"https://github.com/citation-style-language/schema/raw/master/csl-citation.json"}</w:instrText>
      </w:r>
      <w:r w:rsidRPr="00C51CE2">
        <w:rPr>
          <w:color w:val="000000" w:themeColor="text1"/>
        </w:rPr>
        <w:fldChar w:fldCharType="separate"/>
      </w:r>
      <w:r w:rsidRPr="00C51CE2">
        <w:rPr>
          <w:noProof/>
          <w:color w:val="000000" w:themeColor="text1"/>
        </w:rPr>
        <w:t>(Diaz-Leon, 2013; Handwerker, 2002)</w:t>
      </w:r>
      <w:r w:rsidRPr="00C51CE2">
        <w:rPr>
          <w:color w:val="000000" w:themeColor="text1"/>
        </w:rPr>
        <w:fldChar w:fldCharType="end"/>
      </w:r>
      <w:r w:rsidRPr="00C51CE2">
        <w:rPr>
          <w:color w:val="000000" w:themeColor="text1"/>
        </w:rPr>
        <w:t xml:space="preserve">, generally subjective, and its dimension will be different from one to another society </w:t>
      </w:r>
      <w:r w:rsidRPr="00C51CE2">
        <w:rPr>
          <w:color w:val="000000" w:themeColor="text1"/>
        </w:rPr>
        <w:fldChar w:fldCharType="begin" w:fldLock="1"/>
      </w:r>
      <w:r w:rsidRPr="00C51CE2">
        <w:rPr>
          <w:color w:val="000000" w:themeColor="text1"/>
        </w:rPr>
        <w:instrText>ADDIN CSL_CITATION {"citationItems":[{"id":"ITEM-1","itemData":{"ISBN":"9780521474672","author":[{"dropping-particle":"","family":"Oettingen","given":"Gabriele","non-dropping-particle":"","parse-names":false,"suffix":""}],"chapter-number":"5","container-title":"Self-efficacy in Changing Societies","editor":[{"dropping-particle":"","family":"Bandura","given":"Albert","non-dropping-particle":"","parse-names":false,"suffix":""}],"id":"ITEM-1","issued":{"date-parts":[["1995"]]},"page":"351","publisher":"Cambridge University Press","publisher-place":"Cambridge","title":"Cross-cultural Perspective on Self-Efficacy","type":"chapter"},"uris":["http://www.mendeley.com/documents/?uuid=194dce71-3d5c-43ad-a85d-03645fc23de6"]}],"mendeley":{"formattedCitation":"(Oettingen, 1995)","plainTextFormattedCitation":"(Oettingen, 1995)","previouslyFormattedCitation":"(Oettingen, 1995)"},"properties":{"noteIndex":0},"schema":"https://github.com/citation-style-language/schema/raw/master/csl-citation.json"}</w:instrText>
      </w:r>
      <w:r w:rsidRPr="00C51CE2">
        <w:rPr>
          <w:color w:val="000000" w:themeColor="text1"/>
        </w:rPr>
        <w:fldChar w:fldCharType="separate"/>
      </w:r>
      <w:r w:rsidRPr="00C51CE2">
        <w:rPr>
          <w:noProof/>
          <w:color w:val="000000" w:themeColor="text1"/>
        </w:rPr>
        <w:t>(Oettingen, 1995)</w:t>
      </w:r>
      <w:r w:rsidRPr="00C51CE2">
        <w:rPr>
          <w:color w:val="000000" w:themeColor="text1"/>
        </w:rPr>
        <w:fldChar w:fldCharType="end"/>
      </w:r>
      <w:r w:rsidRPr="00C51CE2">
        <w:rPr>
          <w:color w:val="000000" w:themeColor="text1"/>
        </w:rPr>
        <w:t xml:space="preserve">. </w:t>
      </w:r>
      <w:r w:rsidRPr="00C51CE2">
        <w:rPr>
          <w:rStyle w:val="y2iqfc"/>
          <w:color w:val="000000" w:themeColor="text1"/>
        </w:rPr>
        <w:t xml:space="preserve">The culture dimension will be more complicated if it is associated with multicultural relations in various settings, for instance, gender inequality </w:t>
      </w:r>
      <w:r w:rsidRPr="00C51CE2">
        <w:rPr>
          <w:rStyle w:val="y2iqfc"/>
          <w:color w:val="000000" w:themeColor="text1"/>
        </w:rPr>
        <w:fldChar w:fldCharType="begin" w:fldLock="1"/>
      </w:r>
      <w:r w:rsidRPr="00C51CE2">
        <w:rPr>
          <w:rStyle w:val="y2iqfc"/>
          <w:color w:val="000000" w:themeColor="text1"/>
        </w:rPr>
        <w:instrText>ADDIN CSL_CITATION {"citationItems":[{"id":"ITEM-1","itemData":{"DOI":"10.2307/1495386","ISSN":"03802361","abstract":"Girls and women remain substantially under-represented in mathematics, science, and technology in school and in the workplace. Although this problem is recognized, its complexity is widely underestimated and causes are not well understood. We review prevailing explanations, which tend to concentrate either on possible gender differentials in qualities such as self-confidence, or on school practices that allow boys to dominate classroom interaction and monopolize such technology as computers. We also identify disadvantageous features of higher education and the workplace. We then consider what is known about educational innovation, especially in the area of gender equity, and describe some interventions concerned with gender and science and technology education. Finally, we raise unresolved questions and issues about gender equity efforts in science and technology education and suggest directions for research.","author":[{"dropping-particle":"","family":"Acker","given":"Sandra","non-dropping-particle":"","parse-names":false,"suffix":""},{"dropping-particle":"","family":"Oatley","given":"Keith","non-dropping-particle":"","parse-names":false,"suffix":""}],"container-title":"Canadian Journal of Education","id":"ITEM-1","issue":"3","issued":{"date-parts":[["1993"]]},"page":"255","title":"Gender Issues in Education for Science and Technology: Current Situation and Prospects for Change","type":"article-journal","volume":"18"},"uris":["http://www.mendeley.com/documents/?uuid=93fef9e4-77be-4765-ad6e-8bf6b3965bfd"]}],"mendeley":{"formattedCitation":"(Acker &amp; Oatley, 1993)","plainTextFormattedCitation":"(Acker &amp; Oatley, 1993)","previouslyFormattedCitation":"(Acker &amp; Oatley, 1993)"},"properties":{"noteIndex":0},"schema":"https://github.com/citation-style-language/schema/raw/master/csl-citation.json"}</w:instrText>
      </w:r>
      <w:r w:rsidRPr="00C51CE2">
        <w:rPr>
          <w:rStyle w:val="y2iqfc"/>
          <w:color w:val="000000" w:themeColor="text1"/>
        </w:rPr>
        <w:fldChar w:fldCharType="separate"/>
      </w:r>
      <w:r w:rsidRPr="00C51CE2">
        <w:rPr>
          <w:rStyle w:val="y2iqfc"/>
          <w:noProof/>
          <w:color w:val="000000" w:themeColor="text1"/>
        </w:rPr>
        <w:t>(Acker &amp; Oatley, 1993)</w:t>
      </w:r>
      <w:r w:rsidRPr="00C51CE2">
        <w:rPr>
          <w:rStyle w:val="y2iqfc"/>
          <w:color w:val="000000" w:themeColor="text1"/>
        </w:rPr>
        <w:fldChar w:fldCharType="end"/>
      </w:r>
      <w:r w:rsidRPr="00C51CE2">
        <w:rPr>
          <w:rStyle w:val="y2iqfc"/>
          <w:color w:val="000000" w:themeColor="text1"/>
        </w:rPr>
        <w:t xml:space="preserve">, immigration and minority issues </w:t>
      </w:r>
      <w:r w:rsidRPr="00C51CE2">
        <w:rPr>
          <w:rStyle w:val="y2iqfc"/>
          <w:color w:val="000000" w:themeColor="text1"/>
        </w:rPr>
        <w:fldChar w:fldCharType="begin" w:fldLock="1"/>
      </w:r>
      <w:r w:rsidRPr="00C51CE2">
        <w:rPr>
          <w:rStyle w:val="y2iqfc"/>
          <w:color w:val="000000" w:themeColor="text1"/>
        </w:rPr>
        <w:instrText>ADDIN CSL_CITATION {"citationItems":[{"id":"ITEM-1","itemData":{"ISBN":"978-1-4020-9958-8","author":[{"dropping-particle":"","family":"Reitz","given":"Jeffrey G.","non-dropping-particle":"","parse-names":false,"suffix":""},{"dropping-particle":"","family":"Raymond","given":"Breton","non-dropping-particle":"","parse-names":false,"suffix":""},{"dropping-particle":"","family":"Dion","given":"Dion Karen Kisiel","non-dropping-particle":"","parse-names":false,"suffix":""},{"dropping-particle":"","family":"Dion","given":"Kennet L.","non-dropping-particle":"","parse-names":false,"suffix":""}],"id":"ITEM-1","issued":{"date-parts":[["2009"]]},"number-of-pages":"194","publisher":"Springer","title":"The Oxford handbook of multicultural identity","type":"book"},"uris":["http://www.mendeley.com/documents/?uuid=1a22e501-e6d7-44b0-9b73-403274da5d4e"]}],"mendeley":{"formattedCitation":"(Reitz et al., 2009)","plainTextFormattedCitation":"(Reitz et al., 2009)","previouslyFormattedCitation":"(Reitz et al., 2009)"},"properties":{"noteIndex":0},"schema":"https://github.com/citation-style-language/schema/raw/master/csl-citation.json"}</w:instrText>
      </w:r>
      <w:r w:rsidRPr="00C51CE2">
        <w:rPr>
          <w:rStyle w:val="y2iqfc"/>
          <w:color w:val="000000" w:themeColor="text1"/>
        </w:rPr>
        <w:fldChar w:fldCharType="separate"/>
      </w:r>
      <w:r w:rsidRPr="00C51CE2">
        <w:rPr>
          <w:rStyle w:val="y2iqfc"/>
          <w:noProof/>
          <w:color w:val="000000" w:themeColor="text1"/>
        </w:rPr>
        <w:t>(Reitz et al., 2009)</w:t>
      </w:r>
      <w:r w:rsidRPr="00C51CE2">
        <w:rPr>
          <w:rStyle w:val="y2iqfc"/>
          <w:color w:val="000000" w:themeColor="text1"/>
        </w:rPr>
        <w:fldChar w:fldCharType="end"/>
      </w:r>
      <w:r w:rsidRPr="00C51CE2">
        <w:rPr>
          <w:rStyle w:val="y2iqfc"/>
          <w:color w:val="000000" w:themeColor="text1"/>
        </w:rPr>
        <w:t xml:space="preserve">, and </w:t>
      </w:r>
      <w:r w:rsidRPr="00C51CE2">
        <w:rPr>
          <w:rStyle w:val="y2iqfc"/>
          <w:rFonts w:ascii="Courier New" w:hAnsi="Courier New" w:cs="Courier New"/>
          <w:color w:val="000000" w:themeColor="text1"/>
        </w:rPr>
        <w:t>﻿</w:t>
      </w:r>
      <w:r w:rsidRPr="00C51CE2">
        <w:rPr>
          <w:rStyle w:val="y2iqfc"/>
          <w:color w:val="000000" w:themeColor="text1"/>
        </w:rPr>
        <w:t xml:space="preserve">economic prosperity </w:t>
      </w:r>
      <w:r w:rsidRPr="00C51CE2">
        <w:rPr>
          <w:rStyle w:val="y2iqfc"/>
          <w:color w:val="000000" w:themeColor="text1"/>
        </w:rPr>
        <w:fldChar w:fldCharType="begin" w:fldLock="1"/>
      </w:r>
      <w:r w:rsidRPr="00C51CE2">
        <w:rPr>
          <w:rStyle w:val="y2iqfc"/>
          <w:color w:val="000000" w:themeColor="text1"/>
        </w:rPr>
        <w:instrText>ADDIN CSL_CITATION {"citationItems":[{"id":"ITEM-1","itemData":{"DOI":"10.1186/s40856-019-0043-3","abstract":"Increasingly, cultural diversity is being paid attention to by economists, signifying the importance of international allocation of human capital to world economic wellbeing. This paper attempts to understand how Europe can optimally benefit from cultural diversity while facing a spectrum of obstacles. Hypotheses tested by past studies are important but are generally limited by the multidimensional dynamics of the causality mechanism. This paper synthesizes the social, economic, and institutional element spiral within cultural diversity by proposing a culture–economy framework to understand economic prosperity. This paper is developed by three syntheses of the substantive literature: 1) identifying the research agenda of cultural diversity and economic prosperity, 2) conceptualizing the multidimensional dynamics from cultural diversity to economic prosperity, namely the culture–economy framework, and 3) understanding Asia–Europe relations with respect to cultural diversity and creative destruction. Intercultural learning amid complex interactions of identified elements between factor productivity and barriers was found to be the micro-foundation that links cultural diversity to economic prosperity in Europe. Cultural diversity was found to be the cause of richer ideas, heuristics, perspectives, and skills, suggesting the potential sustainability of economic prosperity with creativity-oriented policies in the region.","author":[{"dropping-particle":"","family":"Yong","given":"Enn Lun","non-dropping-particle":"","parse-names":false,"suffix":""}],"container-title":"Asian Journal of German and European Studies","id":"ITEM-1","issue":"1","issued":{"date-parts":[["2019"]]},"publisher":"Asian Journal of German and European Studies","title":"Understanding cultural diversity and economic prosperity in Europe: a literature review and proposal of a culture–economy framework","type":"article-journal","volume":"4"},"uris":["http://www.mendeley.com/documents/?uuid=04f17c59-f349-44d9-9752-e12010c325cc"]}],"mendeley":{"formattedCitation":"(Yong, 2019)","plainTextFormattedCitation":"(Yong, 2019)","previouslyFormattedCitation":"(Yong, 2019)"},"properties":{"noteIndex":0},"schema":"https://github.com/citation-style-language/schema/raw/master/csl-citation.json"}</w:instrText>
      </w:r>
      <w:r w:rsidRPr="00C51CE2">
        <w:rPr>
          <w:rStyle w:val="y2iqfc"/>
          <w:color w:val="000000" w:themeColor="text1"/>
        </w:rPr>
        <w:fldChar w:fldCharType="separate"/>
      </w:r>
      <w:r w:rsidRPr="00C51CE2">
        <w:rPr>
          <w:rStyle w:val="y2iqfc"/>
          <w:noProof/>
          <w:color w:val="000000" w:themeColor="text1"/>
        </w:rPr>
        <w:t>(Yong, 2019)</w:t>
      </w:r>
      <w:r w:rsidRPr="00C51CE2">
        <w:rPr>
          <w:rStyle w:val="y2iqfc"/>
          <w:color w:val="000000" w:themeColor="text1"/>
        </w:rPr>
        <w:fldChar w:fldCharType="end"/>
      </w:r>
      <w:r w:rsidRPr="00C51CE2">
        <w:rPr>
          <w:rStyle w:val="y2iqfc"/>
          <w:color w:val="000000" w:themeColor="text1"/>
        </w:rPr>
        <w:t xml:space="preserve">. </w:t>
      </w:r>
      <w:r w:rsidRPr="00C51CE2">
        <w:rPr>
          <w:color w:val="000000" w:themeColor="text1"/>
        </w:rPr>
        <w:t xml:space="preserve">Studies of </w:t>
      </w:r>
      <w:r w:rsidRPr="00C51CE2">
        <w:rPr>
          <w:color w:val="000000" w:themeColor="text1"/>
        </w:rPr>
        <w:lastRenderedPageBreak/>
        <w:t xml:space="preserve">identifying multicultural competencies, such as Chao et al. </w:t>
      </w:r>
      <w:r w:rsidRPr="00C51CE2">
        <w:rPr>
          <w:color w:val="000000" w:themeColor="text1"/>
        </w:rPr>
        <w:fldChar w:fldCharType="begin" w:fldLock="1"/>
      </w:r>
      <w:r w:rsidRPr="00C51CE2">
        <w:rPr>
          <w:color w:val="000000" w:themeColor="text1"/>
        </w:rPr>
        <w:instrText>ADDIN CSL_CITATION {"citationItems":[{"id":"ITEM-1","itemData":{"abstract":"Multicultural competence refers to the ability to appreciate diversity and to work effectively in mul- ticultural settings. In this increasingly diverse and globalized world, being culturally competent has become more important than ever. Integrating research in counseling and organizational studies, the authors examine the conceptualization of cultural competence across disciplinary boundaries. The authors review pertinent research to dissect the major challenges posted to the quest for cul- tural competence and conclude that training programs that overemphasize knowing the different ‘Others’ may promote a false sense of competence, and even fuel intergroup hostility and reactance. To enhance cultural competence, we recommend shifting the emphasis in competence trainings from knowing the different ‘Others’ to enhancing critical self-awareness.","author":[{"dropping-particle":"","family":"Chao","given":"Melody Manchi","non-dropping-particle":"","parse-names":false,"suffix":""},{"dropping-particle":"","family":"Okazaki","given":"Sumie","non-dropping-particle":"","parse-names":false,"suffix":""},{"dropping-particle":"","family":"Hong","given":"Ying-yi","non-dropping-particle":"","parse-names":false,"suffix":""}],"id":"ITEM-1","issued":{"date-parts":[["2011"]]},"page":"263-274","title":"The quest for multicultural competence: Challenges and lessons learned from clinical and organizational","type":"article-journal","volume":"5"},"suppress-author":1,"uris":["http://www.mendeley.com/documents/?uuid=03198444-7fc1-45df-a6fa-10be6a493d7c"]}],"mendeley":{"formattedCitation":"(2011)","plainTextFormattedCitation":"(2011)","previouslyFormattedCitation":"(2011)"},"properties":{"noteIndex":0},"schema":"https://github.com/citation-style-language/schema/raw/master/csl-citation.json"}</w:instrText>
      </w:r>
      <w:r w:rsidRPr="00C51CE2">
        <w:rPr>
          <w:color w:val="000000" w:themeColor="text1"/>
        </w:rPr>
        <w:fldChar w:fldCharType="separate"/>
      </w:r>
      <w:r w:rsidRPr="00C51CE2">
        <w:rPr>
          <w:noProof/>
          <w:color w:val="000000" w:themeColor="text1"/>
        </w:rPr>
        <w:t>(2011)</w:t>
      </w:r>
      <w:r w:rsidRPr="00C51CE2">
        <w:rPr>
          <w:color w:val="000000" w:themeColor="text1"/>
        </w:rPr>
        <w:fldChar w:fldCharType="end"/>
      </w:r>
      <w:r w:rsidRPr="00C51CE2">
        <w:rPr>
          <w:color w:val="000000" w:themeColor="text1"/>
        </w:rPr>
        <w:t xml:space="preserve"> and  </w:t>
      </w:r>
      <w:r w:rsidRPr="00C51CE2">
        <w:rPr>
          <w:color w:val="000000" w:themeColor="text1"/>
        </w:rPr>
        <w:fldChar w:fldCharType="begin" w:fldLock="1"/>
      </w:r>
      <w:r w:rsidRPr="00C51CE2">
        <w:rPr>
          <w:color w:val="000000" w:themeColor="text1"/>
        </w:rPr>
        <w:instrText>ADDIN CSL_CITATION {"citationItems":[{"id":"ITEM-1","itemData":{"DOI":"10.1177/0022022113493716","author":[{"dropping-particle":"","family":"Chiu","given":"Chi Yue","non-dropping-particle":"","parse-names":false,"suffix":""},{"dropping-particle":"","family":"Matsumoto","given":"David","non-dropping-particle":"","parse-names":false,"suffix":""},{"dropping-particle":"","family":"Ward","given":"Colleen","non-dropping-particle":"","parse-names":false,"suffix":""}],"id":"ITEM-1","issue":"February 2019","issued":{"date-parts":[["2013"]]},"title":"Cross-cultural competence: Theory, research , and application","type":"article-journal"},"suppress-author":1,"uris":["http://www.mendeley.com/documents/?uuid=24d80bc8-a151-4469-bf4e-bc0fd97eb9d1"]}],"mendeley":{"formattedCitation":"(2013)","manualFormatting":"Chiu (2013)","plainTextFormattedCitation":"(2013)","previouslyFormattedCitation":"(2013)"},"properties":{"noteIndex":0},"schema":"https://github.com/citation-style-language/schema/raw/master/csl-citation.json"}</w:instrText>
      </w:r>
      <w:r w:rsidRPr="00C51CE2">
        <w:rPr>
          <w:color w:val="000000" w:themeColor="text1"/>
        </w:rPr>
        <w:fldChar w:fldCharType="separate"/>
      </w:r>
      <w:r w:rsidRPr="00C51CE2">
        <w:rPr>
          <w:noProof/>
          <w:color w:val="000000" w:themeColor="text1"/>
        </w:rPr>
        <w:t>Chiu (2013)</w:t>
      </w:r>
      <w:r w:rsidRPr="00C51CE2">
        <w:rPr>
          <w:color w:val="000000" w:themeColor="text1"/>
        </w:rPr>
        <w:fldChar w:fldCharType="end"/>
      </w:r>
      <w:r w:rsidRPr="00C51CE2">
        <w:rPr>
          <w:color w:val="000000" w:themeColor="text1"/>
        </w:rPr>
        <w:t xml:space="preserve">, showed that the competency differences were from simple to complex and difficult to generalize. In this complexity, understanding it can be viewed from a self-efficacy perspective, one’s belief in his/her capabilities that he/she can produce a given level of attainment </w:t>
      </w:r>
      <w:r w:rsidRPr="00C51CE2">
        <w:rPr>
          <w:color w:val="000000" w:themeColor="text1"/>
        </w:rPr>
        <w:fldChar w:fldCharType="begin" w:fldLock="1"/>
      </w:r>
      <w:r w:rsidRPr="00C51CE2">
        <w:rPr>
          <w:color w:val="000000" w:themeColor="text1"/>
        </w:rPr>
        <w:instrText>ADDIN CSL_CITATION {"citationItems":[{"id":"ITEM-1","itemData":{"author":[{"dropping-particle":"","family":"Bandura","given":"Albert","non-dropping-particle":"","parse-names":false,"suffix":""}],"id":"ITEM-1","issued":{"date-parts":[["1997"]]},"number-of-pages":"610","publisher":"W. Freeman and Company","publisher-place":"New York","title":"Self-efficacy: The exercise of control","type":"book"},"uris":["http://www.mendeley.com/documents/?uuid=f73c35b6-13a7-4db4-bafb-0d124847dbe6"]}],"mendeley":{"formattedCitation":"(Bandura, 1997)","plainTextFormattedCitation":"(Bandura, 1997)","previouslyFormattedCitation":"(Bandura, 1997)"},"properties":{"noteIndex":0},"schema":"https://github.com/citation-style-language/schema/raw/master/csl-citation.json"}</w:instrText>
      </w:r>
      <w:r w:rsidRPr="00C51CE2">
        <w:rPr>
          <w:color w:val="000000" w:themeColor="text1"/>
        </w:rPr>
        <w:fldChar w:fldCharType="separate"/>
      </w:r>
      <w:r w:rsidRPr="00C51CE2">
        <w:rPr>
          <w:noProof/>
          <w:color w:val="000000" w:themeColor="text1"/>
        </w:rPr>
        <w:t>(Bandura, 1997)</w:t>
      </w:r>
      <w:r w:rsidRPr="00C51CE2">
        <w:rPr>
          <w:color w:val="000000" w:themeColor="text1"/>
        </w:rPr>
        <w:fldChar w:fldCharType="end"/>
      </w:r>
      <w:r w:rsidRPr="00C51CE2">
        <w:rPr>
          <w:color w:val="000000" w:themeColor="text1"/>
        </w:rPr>
        <w:t xml:space="preserve">. Having an adequate multicultural self-efficacy is critical because it influences the choice of activity, task perseverance, level of effort expanded, and ultimately and degree of success achieved </w:t>
      </w:r>
      <w:r w:rsidRPr="00C51CE2">
        <w:rPr>
          <w:color w:val="000000" w:themeColor="text1"/>
        </w:rPr>
        <w:fldChar w:fldCharType="begin" w:fldLock="1"/>
      </w:r>
      <w:r w:rsidRPr="00C51CE2">
        <w:rPr>
          <w:color w:val="000000" w:themeColor="text1"/>
        </w:rPr>
        <w:instrText>ADDIN CSL_CITATION {"citationItems":[{"id":"ITEM-1","itemData":{"author":[{"dropping-particle":"","family":"Klassen","given":"Robert M","non-dropping-particle":"","parse-names":false,"suffix":""},{"dropping-particle":"","family":"Lynch","given":"Shane L","non-dropping-particle":"","parse-names":false,"suffix":""}],"container-title":"Journal of Learning Disabiity","id":"ITEM-1","issue":"6","issued":{"date-parts":[["2007"]]},"page":"494-507","title":"Self-Efficacy From the Perspective of Adolescents With LD and Their Specialist Teachers","type":"article-journal","volume":"40"},"uris":["http://www.mendeley.com/documents/?uuid=7bb5aad7-c298-436e-b928-9ff00052aa7c"]}],"mendeley":{"formattedCitation":"(Klassen &amp; Lynch, 2007)","plainTextFormattedCitation":"(Klassen &amp; Lynch, 2007)","previouslyFormattedCitation":"(Klassen &amp; Lynch, 2007)"},"properties":{"noteIndex":0},"schema":"https://github.com/citation-style-language/schema/raw/master/csl-citation.json"}</w:instrText>
      </w:r>
      <w:r w:rsidRPr="00C51CE2">
        <w:rPr>
          <w:color w:val="000000" w:themeColor="text1"/>
        </w:rPr>
        <w:fldChar w:fldCharType="separate"/>
      </w:r>
      <w:r w:rsidRPr="00C51CE2">
        <w:rPr>
          <w:noProof/>
          <w:color w:val="000000" w:themeColor="text1"/>
        </w:rPr>
        <w:t>(Klassen &amp; Lynch, 2007)</w:t>
      </w:r>
      <w:r w:rsidRPr="00C51CE2">
        <w:rPr>
          <w:color w:val="000000" w:themeColor="text1"/>
        </w:rPr>
        <w:fldChar w:fldCharType="end"/>
      </w:r>
      <w:r w:rsidRPr="00C51CE2">
        <w:rPr>
          <w:color w:val="000000" w:themeColor="text1"/>
        </w:rPr>
        <w:t xml:space="preserve">. The efficacy itself associated with several factors, such as performance attainments, vicarious experiences, verbal persuasion, and physiological states from which people partly judge their capability, strength, and vulnerability </w:t>
      </w:r>
      <w:r w:rsidRPr="00C51CE2">
        <w:rPr>
          <w:color w:val="000000" w:themeColor="text1"/>
        </w:rPr>
        <w:fldChar w:fldCharType="begin" w:fldLock="1"/>
      </w:r>
      <w:r w:rsidRPr="00C51CE2">
        <w:rPr>
          <w:color w:val="000000" w:themeColor="text1"/>
        </w:rPr>
        <w:instrText>ADDIN CSL_CITATION {"citationItems":[{"id":"ITEM-1","itemData":{"author":[{"dropping-particle":"","family":"Bandura","given":"Albert","non-dropping-particle":"","parse-names":false,"suffix":""}],"container-title":"American Psychologist","id":"ITEM-1","issue":"2","issued":{"date-parts":[["1982"]]},"page":"122-147","title":"Self-efficacy Mechanism in human agency","type":"motion_picture","volume":"37"},"uris":["http://www.mendeley.com/documents/?uuid=58b88850-36ce-4ac4-9545-796df4d4eb54"]}],"mendeley":{"formattedCitation":"(Bandura, 1982)","plainTextFormattedCitation":"(Bandura, 1982)","previouslyFormattedCitation":"(Bandura, 1982)"},"properties":{"noteIndex":0},"schema":"https://github.com/citation-style-language/schema/raw/master/csl-citation.json"}</w:instrText>
      </w:r>
      <w:r w:rsidRPr="00C51CE2">
        <w:rPr>
          <w:color w:val="000000" w:themeColor="text1"/>
        </w:rPr>
        <w:fldChar w:fldCharType="separate"/>
      </w:r>
      <w:r w:rsidRPr="00C51CE2">
        <w:rPr>
          <w:noProof/>
          <w:color w:val="000000" w:themeColor="text1"/>
        </w:rPr>
        <w:t>(Bandura, 1982)</w:t>
      </w:r>
      <w:r w:rsidRPr="00C51CE2">
        <w:rPr>
          <w:color w:val="000000" w:themeColor="text1"/>
        </w:rPr>
        <w:fldChar w:fldCharType="end"/>
      </w:r>
      <w:r w:rsidRPr="00C51CE2">
        <w:rPr>
          <w:color w:val="000000" w:themeColor="text1"/>
        </w:rPr>
        <w:t>. At this point, those who have adequate self-efficacy will be ready to deal with various circumstances, including multicultural interaction in school settings.</w:t>
      </w:r>
    </w:p>
    <w:p w14:paraId="3262C944" w14:textId="77777777" w:rsidR="004B334D" w:rsidRDefault="004B334D" w:rsidP="004B334D">
      <w:pPr>
        <w:pStyle w:val="NormalWeb"/>
        <w:spacing w:before="0" w:beforeAutospacing="0" w:after="0" w:afterAutospacing="0"/>
        <w:jc w:val="both"/>
        <w:rPr>
          <w:color w:val="000000" w:themeColor="text1"/>
        </w:rPr>
      </w:pPr>
    </w:p>
    <w:p w14:paraId="12D0085A" w14:textId="77777777" w:rsidR="004B334D" w:rsidRPr="001B2EC8" w:rsidRDefault="004B334D" w:rsidP="004B334D">
      <w:pPr>
        <w:pStyle w:val="NormalWeb"/>
        <w:spacing w:before="0" w:beforeAutospacing="0" w:after="0" w:afterAutospacing="0"/>
        <w:jc w:val="both"/>
        <w:rPr>
          <w:b/>
          <w:color w:val="000000" w:themeColor="text1"/>
        </w:rPr>
      </w:pPr>
      <w:r w:rsidRPr="001B2EC8">
        <w:rPr>
          <w:b/>
          <w:color w:val="000000" w:themeColor="text1"/>
        </w:rPr>
        <w:t>The Rational of Current Study</w:t>
      </w:r>
    </w:p>
    <w:p w14:paraId="51DD2595" w14:textId="77777777" w:rsidR="004B334D" w:rsidRPr="00462655" w:rsidRDefault="004B334D" w:rsidP="004B334D">
      <w:pPr>
        <w:pStyle w:val="NormalWeb"/>
        <w:spacing w:before="0" w:beforeAutospacing="0" w:after="0" w:afterAutospacing="0"/>
        <w:jc w:val="both"/>
        <w:rPr>
          <w:color w:val="000000" w:themeColor="text1"/>
        </w:rPr>
      </w:pPr>
      <w:r w:rsidRPr="00462655">
        <w:rPr>
          <w:color w:val="000000" w:themeColor="text1"/>
        </w:rPr>
        <w:t>Students, from the beginning, developed m</w:t>
      </w:r>
      <w:commentRangeStart w:id="5"/>
      <w:commentRangeStart w:id="6"/>
      <w:r w:rsidRPr="00462655">
        <w:rPr>
          <w:color w:val="000000" w:themeColor="text1"/>
        </w:rPr>
        <w:t>ulticultural self-efficacy</w:t>
      </w:r>
      <w:commentRangeEnd w:id="5"/>
      <w:r w:rsidRPr="00462655">
        <w:rPr>
          <w:color w:val="000000" w:themeColor="text1"/>
        </w:rPr>
        <w:commentReference w:id="5"/>
      </w:r>
      <w:commentRangeEnd w:id="6"/>
      <w:r w:rsidRPr="00462655">
        <w:rPr>
          <w:rStyle w:val="CommentReference"/>
          <w:color w:val="000000" w:themeColor="text1"/>
          <w:lang w:val="en-PH"/>
        </w:rPr>
        <w:commentReference w:id="6"/>
      </w:r>
      <w:r w:rsidRPr="00462655">
        <w:rPr>
          <w:color w:val="000000" w:themeColor="text1"/>
        </w:rPr>
        <w:t xml:space="preserve"> by learning from related sources that enabled them to be competent in several areas, such as psychological being, physical health, and self-regulation </w:t>
      </w:r>
      <w:r w:rsidRPr="00462655">
        <w:rPr>
          <w:color w:val="000000" w:themeColor="text1"/>
        </w:rPr>
        <w:fldChar w:fldCharType="begin" w:fldLock="1"/>
      </w:r>
      <w:r w:rsidRPr="00462655">
        <w:rPr>
          <w:color w:val="000000" w:themeColor="text1"/>
        </w:rPr>
        <w:instrText>ADDIN CSL_CITATION {"citationItems":[{"id":"ITEM-1","itemData":{"DOI":"10.1093/oxfordhb/9780195187243.013.0031","ISBN":"9780199940615","abstract":"The basic premise of self-efficacy theory is that \"people's beliefs in their capabilities to produce desired effects by their own actions\" (Bandura, 1997, p. vii) are the most important determinants of the behaviors people choose to engage in and how much they persevere in their efforts in the face of obstacles and challenges. Self-efficacy theory also maintains that these efficacy beliefs play a crucial role in psychological adjustment, psychological problems, physical health, as well as professionally guided and self-guided behavioral change strategies. This chapter provides an overview of self-efficacy theory and research by addressing three basic questions: (a) What is self-efficacy? (b) Where do self-efficacy beliefs come from? (c) Why is self-efficacy important? The chapter also discusses \"collective efficacy\"-group members' beliefs in their ability to collectively accomplish shared goals.","author":[{"dropping-particle":"","family":"Maddux","given":"James E.","non-dropping-particle":"","parse-names":false,"suffix":""}],"container-title":"The Oxford Handbook of Positive Psychology, (2 Ed.)","id":"ITEM-1","issued":{"date-parts":[["2012"]]},"title":"Self-Efficacy: The Power of Believing You Can","type":"article-journal"},"uris":["http://www.mendeley.com/documents/?uuid=3f9f1cee-2e9d-49f0-9f0b-e9b804d695b5"]}],"mendeley":{"formattedCitation":"(Maddux, 2012)","plainTextFormattedCitation":"(Maddux, 2012)","previouslyFormattedCitation":"(Maddux, 2012)"},"properties":{"noteIndex":0},"schema":"https://github.com/citation-style-language/schema/raw/master/csl-citation.json"}</w:instrText>
      </w:r>
      <w:r w:rsidRPr="00462655">
        <w:rPr>
          <w:color w:val="000000" w:themeColor="text1"/>
        </w:rPr>
        <w:fldChar w:fldCharType="separate"/>
      </w:r>
      <w:r w:rsidRPr="00462655">
        <w:rPr>
          <w:noProof/>
          <w:color w:val="000000" w:themeColor="text1"/>
        </w:rPr>
        <w:t>(Maddux, 2012)</w:t>
      </w:r>
      <w:r w:rsidRPr="00462655">
        <w:rPr>
          <w:color w:val="000000" w:themeColor="text1"/>
        </w:rPr>
        <w:fldChar w:fldCharType="end"/>
      </w:r>
      <w:r w:rsidRPr="00462655">
        <w:rPr>
          <w:color w:val="000000" w:themeColor="text1"/>
        </w:rPr>
        <w:t xml:space="preserve">. Family and community were the critical sources for them to learn the efficacy. When their efficacy level is low, these institutions, represented by parents, teachers, public figures, and religious leaders, presumably do not function effectively. In addition to these institutions, peers were meaningful sources of their efficacy. They provide affirmation for </w:t>
      </w:r>
      <w:r>
        <w:rPr>
          <w:color w:val="000000" w:themeColor="text1"/>
        </w:rPr>
        <w:t xml:space="preserve">the </w:t>
      </w:r>
      <w:r w:rsidRPr="00462655">
        <w:rPr>
          <w:color w:val="000000" w:themeColor="text1"/>
        </w:rPr>
        <w:t>acceptable</w:t>
      </w:r>
      <w:r>
        <w:rPr>
          <w:color w:val="000000" w:themeColor="text1"/>
        </w:rPr>
        <w:t xml:space="preserve"> </w:t>
      </w:r>
      <w:r w:rsidRPr="00462655">
        <w:rPr>
          <w:color w:val="000000" w:themeColor="text1"/>
        </w:rPr>
        <w:t xml:space="preserve">efficacy. From this perspective, it is discernible that not all high school students will have adequate multicultural self-efficacy. Lacking adequacy may limit their human relationship quality, and easy to get carried away in cultural and religious conflict noticed in some studies  </w:t>
      </w:r>
      <w:r w:rsidRPr="00462655">
        <w:rPr>
          <w:color w:val="000000" w:themeColor="text1"/>
        </w:rPr>
        <w:fldChar w:fldCharType="begin" w:fldLock="1"/>
      </w:r>
      <w:r w:rsidRPr="00462655">
        <w:rPr>
          <w:color w:val="000000" w:themeColor="text1"/>
        </w:rPr>
        <w:instrText>ADDIN CSL_CITATION {"citationItems":[{"id":"ITEM-1","itemData":{"author":[{"dropping-particle":"","family":"Aini","given":"Nurul","non-dropping-particle":"","parse-names":false,"suffix":""}],"container-title":"Jurnal Pemikiran Sosiologi","id":"ITEM-1","issue":"1","issued":{"date-parts":[["2012"]]},"title":"Domestifikasi etnisitas: Pemekaran wilayah dan rutinisasi kekerasan antar etnis di Maluku Utara","type":"article-journal","volume":"1"},"uris":["http://www.mendeley.com/documents/?uuid=d5e91aa5-c5eb-4109-814a-51c5b8432c66"]},{"id":"ITEM-2","itemData":{"abstract":"This study examined the effectiveness of multicultural education provided after the ethnic conflict (1996–2001) in West Kalimantan, Indonesia. Research included textbook analysis, observation of practice, interviews with teachers and NGOs, and surveys of junior high school students’ social identity. Multicultural education was found to help students understand the past and the multicultural situation in the present. However, two problems were identified: stakeholders’ trauma and anxiety regarding teaching the negative past and critical thinking weaknesses, especially in terms of (re)producing prejudice and conflicts. Based on social identity analysis, this study recommends that multicultural education should be implemented under transformative citizenship education.","author":[{"dropping-particle":"","family":"Nakaya","given":"Ayami","non-dropping-particle":"","parse-names":false,"suffix":""}],"container-title":"International Journal of Multicultural Education","id":"ITEM-2","issue":"1","issued":{"date-parts":[["2018"]]},"page":"118-137","title":"Overcoming ethnic conflict through multicultural education: The case of West Kalimantan, Indonesia","type":"article-journal","volume":"20"},"uris":["http://www.mendeley.com/documents/?uuid=d2939c82-b4e9-417f-bb90-dcac71214996"]}],"mendeley":{"formattedCitation":"(Aini, 2012; Nakaya, 2018)","plainTextFormattedCitation":"(Aini, 2012; Nakaya, 2018)","previouslyFormattedCitation":"(Aini, 2012; Nakaya, 2018)"},"properties":{"noteIndex":0},"schema":"https://github.com/citation-style-language/schema/raw/master/csl-citation.json"}</w:instrText>
      </w:r>
      <w:r w:rsidRPr="00462655">
        <w:rPr>
          <w:color w:val="000000" w:themeColor="text1"/>
        </w:rPr>
        <w:fldChar w:fldCharType="separate"/>
      </w:r>
      <w:r w:rsidRPr="00462655">
        <w:rPr>
          <w:noProof/>
          <w:color w:val="000000" w:themeColor="text1"/>
        </w:rPr>
        <w:t>(Aini, 2012; Nakaya, 2018)</w:t>
      </w:r>
      <w:r w:rsidRPr="00462655">
        <w:rPr>
          <w:color w:val="000000" w:themeColor="text1"/>
        </w:rPr>
        <w:fldChar w:fldCharType="end"/>
      </w:r>
      <w:r w:rsidRPr="00462655">
        <w:rPr>
          <w:color w:val="000000" w:themeColor="text1"/>
        </w:rPr>
        <w:t>. Current literature at least describing the status of the students’ multicultural self-efficacy or more advanced discussion on causes and effects between the efficacy and related factors are limited let those are concerned speculated.</w:t>
      </w:r>
    </w:p>
    <w:p w14:paraId="2BF7AA82" w14:textId="77777777" w:rsidR="004B334D" w:rsidRPr="00C51CE2" w:rsidRDefault="004B334D" w:rsidP="004B334D">
      <w:pPr>
        <w:pStyle w:val="NormalWeb"/>
        <w:spacing w:before="0" w:beforeAutospacing="0" w:after="0" w:afterAutospacing="0"/>
        <w:jc w:val="both"/>
        <w:rPr>
          <w:rFonts w:asciiTheme="minorHAnsi" w:hAnsiTheme="minorHAnsi" w:cstheme="minorHAnsi"/>
          <w:b/>
          <w:color w:val="000000" w:themeColor="text1"/>
        </w:rPr>
      </w:pPr>
    </w:p>
    <w:p w14:paraId="57550DD9" w14:textId="77777777" w:rsidR="004B334D" w:rsidRPr="003A7B19" w:rsidRDefault="004B334D" w:rsidP="004B334D">
      <w:pPr>
        <w:pStyle w:val="NormalWeb"/>
        <w:spacing w:before="0" w:beforeAutospacing="0" w:after="0" w:afterAutospacing="0"/>
        <w:jc w:val="both"/>
        <w:rPr>
          <w:color w:val="000000" w:themeColor="text1"/>
        </w:rPr>
      </w:pPr>
      <w:r w:rsidRPr="003A7B19">
        <w:rPr>
          <w:color w:val="000000" w:themeColor="text1"/>
        </w:rPr>
        <w:t xml:space="preserve">Despite Indonesia getting international recognition for its diversity and efforts to create tolerance of religion </w:t>
      </w:r>
      <w:r w:rsidRPr="003A7B19">
        <w:rPr>
          <w:color w:val="000000" w:themeColor="text1"/>
        </w:rPr>
        <w:fldChar w:fldCharType="begin" w:fldLock="1"/>
      </w:r>
      <w:r w:rsidRPr="003A7B19">
        <w:rPr>
          <w:color w:val="000000" w:themeColor="text1"/>
        </w:rPr>
        <w:instrText>ADDIN CSL_CITATION {"citationItems":[{"id":"ITEM-1","itemData":{"DOI":"10.2991/assehr.k.201017.159","author":[{"dropping-particle":"","family":"Johan","given":"Teuku Saiful Bahri","non-dropping-particle":"","parse-names":false,"suffix":""}],"container-title":"The International Conference on Community Development (ICCD)","id":"ITEM-1","issue":"Iccd","issued":{"date-parts":[["2020"]]},"page":"722-726","publisher":"Atlantis Press","title":"International World Recognition on Indonesia’s Success in Creating Tolerance of Religion","type":"paper-conference","volume":"477"},"uris":["http://www.mendeley.com/documents/?uuid=2faba78b-7bca-4c5f-acfe-49d6b7ec75f2"]}],"mendeley":{"formattedCitation":"(Johan, 2020)","plainTextFormattedCitation":"(Johan, 2020)","previouslyFormattedCitation":"(Johan, 2020)"},"properties":{"noteIndex":0},"schema":"https://github.com/citation-style-language/schema/raw/master/csl-citation.json"}</w:instrText>
      </w:r>
      <w:r w:rsidRPr="003A7B19">
        <w:rPr>
          <w:color w:val="000000" w:themeColor="text1"/>
        </w:rPr>
        <w:fldChar w:fldCharType="separate"/>
      </w:r>
      <w:r w:rsidRPr="003A7B19">
        <w:rPr>
          <w:noProof/>
          <w:color w:val="000000" w:themeColor="text1"/>
        </w:rPr>
        <w:t>(Johan, 2020)</w:t>
      </w:r>
      <w:r w:rsidRPr="003A7B19">
        <w:rPr>
          <w:color w:val="000000" w:themeColor="text1"/>
        </w:rPr>
        <w:fldChar w:fldCharType="end"/>
      </w:r>
      <w:r w:rsidRPr="003A7B19">
        <w:rPr>
          <w:color w:val="000000" w:themeColor="text1"/>
        </w:rPr>
        <w:t xml:space="preserve">, the results of previous studies in the Islamic education context were not always in line. The studies addressed on multicultural of Muslim students in rural and urban areas </w:t>
      </w:r>
      <w:r w:rsidRPr="003A7B19">
        <w:rPr>
          <w:color w:val="000000" w:themeColor="text1"/>
        </w:rPr>
        <w:fldChar w:fldCharType="begin" w:fldLock="1"/>
      </w:r>
      <w:r w:rsidRPr="003A7B19">
        <w:rPr>
          <w:color w:val="000000" w:themeColor="text1"/>
        </w:rPr>
        <w:instrText>ADDIN CSL_CITATION {"citationItems":[{"id":"ITEM-1","itemData":{"author":[{"dropping-particle":"","family":"Wibowo","given":"A. M.","non-dropping-particle":"","parse-names":false,"suffix":""}],"container-title":"Edukasi: Jurnal Penelitian Pendidikan Agama dan Keagamaan","id":"ITEM-1","issue":"1","issued":{"date-parts":[["2018"]]},"page":"2018","title":"Multikulturalisme Peserta Didik Muslim di Yogyakarta","type":"article-journal","volume":"16"},"uris":["http://www.mendeley.com/documents/?uuid=9f04c2f0-5dd4-4ac0-8205-9caeef1e69c5"]}],"mendeley":{"formattedCitation":"(Wibowo, 2018)","plainTextFormattedCitation":"(Wibowo, 2018)","previouslyFormattedCitation":"(Wibowo, 2018)"},"properties":{"noteIndex":0},"schema":"https://github.com/citation-style-language/schema/raw/master/csl-citation.json"}</w:instrText>
      </w:r>
      <w:r w:rsidRPr="003A7B19">
        <w:rPr>
          <w:color w:val="000000" w:themeColor="text1"/>
        </w:rPr>
        <w:fldChar w:fldCharType="separate"/>
      </w:r>
      <w:r w:rsidRPr="003A7B19">
        <w:rPr>
          <w:noProof/>
          <w:color w:val="000000" w:themeColor="text1"/>
        </w:rPr>
        <w:t>(Wibowo, 2018)</w:t>
      </w:r>
      <w:r w:rsidRPr="003A7B19">
        <w:rPr>
          <w:color w:val="000000" w:themeColor="text1"/>
        </w:rPr>
        <w:fldChar w:fldCharType="end"/>
      </w:r>
      <w:r w:rsidRPr="003A7B19">
        <w:rPr>
          <w:color w:val="000000" w:themeColor="text1"/>
        </w:rPr>
        <w:t xml:space="preserve">,  attitude differences between public Islamic and public university students </w:t>
      </w:r>
      <w:r w:rsidRPr="003A7B19">
        <w:rPr>
          <w:color w:val="000000" w:themeColor="text1"/>
        </w:rPr>
        <w:fldChar w:fldCharType="begin" w:fldLock="1"/>
      </w:r>
      <w:r w:rsidRPr="003A7B19">
        <w:rPr>
          <w:color w:val="000000" w:themeColor="text1"/>
        </w:rPr>
        <w:instrText>ADDIN CSL_CITATION {"citationItems":[{"id":"ITEM-1","itemData":{"DOI":"10.21580/ws.27.1.3872","ISSN":"0852-7172","abstract":"This research focuses on plurality of two Indonesian state university students, namely IAIN Syaikh Abdurrahman Siddik Bangka Belitung and Bangka Belitung University. This research aimed at finding out an idea of how the attitude of these PTN students in Bangka Belitung in dealing with the plurality. This quantitative research found that IAIN students are more exclusive as far as the belief system is concerned. Whereas in the context of inclusiveness, IAIN students are more inclusive in the belief that every religion contains truth and UBB students hold the same opinion. Regarding the attitude of students, UBB students are more pluralist in terms of rejecting missionaries, while the students of the IAIN are more pluralist in terms of the purpose of the truth of each religious teaching. Moreover, UBB students are more universalist in their view that religions are different because of historical factors. While in the moderate category of 2.76%, there are no intolerant students. Based on the results of various tests (t-test), it is shown that there are significant differences between IAIN and UBB students.","author":[{"dropping-particle":"","family":"Rifa'i","given":"Andi Arif","non-dropping-particle":"","parse-names":false,"suffix":""}],"container-title":"Walisongo: Jurnal Penelitian Sosial Keagamaan","id":"ITEM-1","issue":"1","issued":{"date-parts":[["2019"]]},"page":"125-148","title":"Religious and tolerant attitudes of university students: A comparative study","type":"article-journal","volume":"27"},"uris":["http://www.mendeley.com/documents/?uuid=20610b3a-0276-4381-aaf6-daa1e94e8cd9"]}],"mendeley":{"formattedCitation":"(Rifa’i, 2019)","plainTextFormattedCitation":"(Rifa’i, 2019)","previouslyFormattedCitation":"(Rifa’i, 2019)"},"properties":{"noteIndex":0},"schema":"https://github.com/citation-style-language/schema/raw/master/csl-citation.json"}</w:instrText>
      </w:r>
      <w:r w:rsidRPr="003A7B19">
        <w:rPr>
          <w:color w:val="000000" w:themeColor="text1"/>
        </w:rPr>
        <w:fldChar w:fldCharType="separate"/>
      </w:r>
      <w:r w:rsidRPr="003A7B19">
        <w:rPr>
          <w:noProof/>
          <w:color w:val="000000" w:themeColor="text1"/>
        </w:rPr>
        <w:t>(Rifa’i, 2019)</w:t>
      </w:r>
      <w:r w:rsidRPr="003A7B19">
        <w:rPr>
          <w:color w:val="000000" w:themeColor="text1"/>
        </w:rPr>
        <w:fldChar w:fldCharType="end"/>
      </w:r>
      <w:r w:rsidRPr="003A7B19">
        <w:rPr>
          <w:color w:val="000000" w:themeColor="text1"/>
        </w:rPr>
        <w:t xml:space="preserve">, tolerance of Muslim pre-service teachers </w:t>
      </w:r>
      <w:r w:rsidRPr="003A7B19">
        <w:rPr>
          <w:color w:val="000000" w:themeColor="text1"/>
        </w:rPr>
        <w:fldChar w:fldCharType="begin" w:fldLock="1"/>
      </w:r>
      <w:r w:rsidRPr="003A7B19">
        <w:rPr>
          <w:color w:val="000000" w:themeColor="text1"/>
        </w:rPr>
        <w:instrText>ADDIN CSL_CITATION {"citationItems":[{"id":"ITEM-1","itemData":{"author":[{"dropping-particle":"","family":"Mulya","given":"Teguh Wijaya","non-dropping-particle":"","parse-names":false,"suffix":""},{"dropping-particle":"","family":"Aditomo","given":"Anindito","non-dropping-particle":"","parse-names":false,"suffix":""},{"dropping-particle":"","family":"Suryani","given":"Anne","non-dropping-particle":"","parse-names":false,"suffix":""}],"container-title":"British Journal of Religious Education","id":"ITEM-1","issued":{"date-parts":[["2021"]]},"title":"On being a religiously tolerant Muslim : discursive contestations among pre-service teachers in contemporary Indonesia","type":"article-journal"},"uris":["http://www.mendeley.com/documents/?uuid=3988c294-cec0-4e39-b09d-0639ab34fbba"]}],"mendeley":{"formattedCitation":"(Mulya et al., 2021)","plainTextFormattedCitation":"(Mulya et al., 2021)","previouslyFormattedCitation":"(Mulya et al., 2021)"},"properties":{"noteIndex":0},"schema":"https://github.com/citation-style-language/schema/raw/master/csl-citation.json"}</w:instrText>
      </w:r>
      <w:r w:rsidRPr="003A7B19">
        <w:rPr>
          <w:color w:val="000000" w:themeColor="text1"/>
        </w:rPr>
        <w:fldChar w:fldCharType="separate"/>
      </w:r>
      <w:r w:rsidRPr="003A7B19">
        <w:rPr>
          <w:noProof/>
          <w:color w:val="000000" w:themeColor="text1"/>
        </w:rPr>
        <w:t>(Mulya et al., 2021)</w:t>
      </w:r>
      <w:r w:rsidRPr="003A7B19">
        <w:rPr>
          <w:color w:val="000000" w:themeColor="text1"/>
        </w:rPr>
        <w:fldChar w:fldCharType="end"/>
      </w:r>
      <w:r w:rsidRPr="003A7B19">
        <w:rPr>
          <w:color w:val="000000" w:themeColor="text1"/>
        </w:rPr>
        <w:t xml:space="preserve">, and tolerance among Islamic high school students </w:t>
      </w:r>
      <w:r w:rsidRPr="003A7B19">
        <w:rPr>
          <w:color w:val="000000" w:themeColor="text1"/>
        </w:rPr>
        <w:fldChar w:fldCharType="begin" w:fldLock="1"/>
      </w:r>
      <w:r w:rsidRPr="003A7B19">
        <w:rPr>
          <w:color w:val="000000" w:themeColor="text1"/>
        </w:rPr>
        <w:instrText>ADDIN CSL_CITATION {"citationItems":[{"id":"ITEM-1","itemData":{"DOI":"10.17509/jomsign.v5i2.35063","ISSN":"2549-7065","abstract":"This article contains a description of tolerance in students of Madrasah Aliyah Negeri 1 Cimahi. The method used is a descriptive method with a quantitative approach. Data collection using tolerance instruments. The research sample consisted of 120 students of Madrasah Aliyah Negeri 1 Cimahi and 64 students identified who were affiliated with Nahdlatul Ulama and Muhammadiyah religious organizations. The results of this study are first that the tolerance of students at Madrasah Aliyah Negeri 1 Cimahi is in the high category. Second, profiles of the aspect of tolerance consist of aspects of equality, respect for differences, and peace. Third, the results of the t-test indicate that there is no significant difference in the tolerance of students who are affiliated with the religious organizations of Nahdlatul Ulama and Muhammadiyah. The results of this study can be used as consideration for developing peace counseling and developing multicultural guidance and counseling program in Madrasah.","author":[{"dropping-particle":"","family":"Septian","given":"Muhammad Rezza","non-dropping-particle":"","parse-names":false,"suffix":""},{"dropping-particle":"","family":"Budiman","given":"Arip","non-dropping-particle":"","parse-names":false,"suffix":""}],"container-title":"JOMSIGN: Journal of Multicultural Studies in Guidance and Counseling","id":"ITEM-1","issue":"2","issued":{"date-parts":[["2021"]]},"page":"43-61","title":"Tolerance in Madrasah Students Based on Religious Organization Affiliates","type":"article-journal","volume":"5"},"uris":["http://www.mendeley.com/documents/?uuid=d46fe3ae-9a24-45c0-aa86-05d3ff282c5f"]}],"mendeley":{"formattedCitation":"(Septian &amp; Budiman, 2021)","plainTextFormattedCitation":"(Septian &amp; Budiman, 2021)","previouslyFormattedCitation":"(Septian &amp; Budiman, 2021)"},"properties":{"noteIndex":0},"schema":"https://github.com/citation-style-language/schema/raw/master/csl-citation.json"}</w:instrText>
      </w:r>
      <w:r w:rsidRPr="003A7B19">
        <w:rPr>
          <w:color w:val="000000" w:themeColor="text1"/>
        </w:rPr>
        <w:fldChar w:fldCharType="separate"/>
      </w:r>
      <w:r w:rsidRPr="003A7B19">
        <w:rPr>
          <w:noProof/>
          <w:color w:val="000000" w:themeColor="text1"/>
        </w:rPr>
        <w:t>(Septian &amp; Budiman, 2021)</w:t>
      </w:r>
      <w:r w:rsidRPr="003A7B19">
        <w:rPr>
          <w:color w:val="000000" w:themeColor="text1"/>
        </w:rPr>
        <w:fldChar w:fldCharType="end"/>
      </w:r>
      <w:r w:rsidRPr="003A7B19">
        <w:rPr>
          <w:color w:val="000000" w:themeColor="text1"/>
        </w:rPr>
        <w:t xml:space="preserve"> proved the different perspectives of understanding and practicing multicultural. For this finding, </w:t>
      </w:r>
      <w:proofErr w:type="spellStart"/>
      <w:r w:rsidRPr="003A7B19">
        <w:rPr>
          <w:color w:val="000000" w:themeColor="text1"/>
        </w:rPr>
        <w:t>Zarbaliyev</w:t>
      </w:r>
      <w:proofErr w:type="spellEnd"/>
      <w:r w:rsidRPr="003A7B19">
        <w:rPr>
          <w:color w:val="000000" w:themeColor="text1"/>
        </w:rPr>
        <w:t xml:space="preserve"> </w:t>
      </w:r>
      <w:r w:rsidRPr="003A7B19">
        <w:rPr>
          <w:color w:val="000000" w:themeColor="text1"/>
        </w:rPr>
        <w:fldChar w:fldCharType="begin" w:fldLock="1"/>
      </w:r>
      <w:r>
        <w:rPr>
          <w:color w:val="000000" w:themeColor="text1"/>
        </w:rPr>
        <w:instrText>ADDIN CSL_CITATION {"citationItems":[{"id":"ITEM-1","itemData":{"DOI":"10.21831/JSS.V13I1.16966.G9971","ISSN":"2721-4036","abstract":"Indonesia is multicultural country in which the conflicts between etchnics may occur. With regard to this, Indonesia must implement a multicultural education which focuses on (1) regions, ethnics and traditions; (2) faith; and (3) tolerance. In addition, Indonesia must assure multicultural security for its citizens, such as, keeping energy security, economic security and cultural security. This will provide a solution to the conflicts, or significantly minimize possibility of conflicts to occur. The current globalization process does not repel isolative condition, nor enable cultural development strangely. In this condition, the strategy to prevent cultural conflicts is to perform a dialogue between cultures.","author":[{"dropping-particle":"","family":"Zarbaliyev","given":"Habib","non-dropping-particle":"","parse-names":false,"suffix":""}],"container-title":"Journal of Social Studies (JSS)","id":"ITEM-1","issue":"1","issued":{"date-parts":[["2017"]]},"page":"1-16","title":"Multiculturalism in Globalization Era: History and Challenge for Indonesia","type":"article-journal","volume":"13"},"suppress-author":1,"uris":["http://www.mendeley.com/documents/?uuid=aaed4f96-9049-4d28-a015-71004cd8db3d"]}],"mendeley":{"formattedCitation":"(2017)","plainTextFormattedCitation":"(2017)","previouslyFormattedCitation":"(2017)"},"properties":{"noteIndex":0},"schema":"https://github.com/citation-style-language/schema/raw/master/csl-citation.json"}</w:instrText>
      </w:r>
      <w:r w:rsidRPr="003A7B19">
        <w:rPr>
          <w:color w:val="000000" w:themeColor="text1"/>
        </w:rPr>
        <w:fldChar w:fldCharType="separate"/>
      </w:r>
      <w:r w:rsidRPr="003A7B19">
        <w:rPr>
          <w:noProof/>
          <w:color w:val="000000" w:themeColor="text1"/>
        </w:rPr>
        <w:t>(2017)</w:t>
      </w:r>
      <w:r w:rsidRPr="003A7B19">
        <w:rPr>
          <w:color w:val="000000" w:themeColor="text1"/>
        </w:rPr>
        <w:fldChar w:fldCharType="end"/>
      </w:r>
      <w:r w:rsidRPr="003A7B19">
        <w:rPr>
          <w:color w:val="000000" w:themeColor="text1"/>
        </w:rPr>
        <w:t xml:space="preserve"> signaled that, at any time, ethnic conflicts might appear. An example of his signal appeared in the tense on diversity increased and became wide attention as posted on mass media, such as cases of labeling region conditions, criticizing local language </w:t>
      </w:r>
      <w:r w:rsidRPr="003A7B19">
        <w:rPr>
          <w:color w:val="000000" w:themeColor="text1"/>
        </w:rPr>
        <w:fldChar w:fldCharType="begin" w:fldLock="1"/>
      </w:r>
      <w:r w:rsidRPr="003A7B19">
        <w:rPr>
          <w:color w:val="000000" w:themeColor="text1"/>
        </w:rPr>
        <w:instrText>ADDIN CSL_CITATION {"citationItems":[{"id":"ITEM-1","itemData":{"author":[{"dropping-particle":"","family":"Rahman","given":"Arrijal","non-dropping-particle":"","parse-names":false,"suffix":""}],"id":"ITEM-1","issued":{"date-parts":[["2022","1","21"]]},"publisher-place":"Jakarta","title":"Polemik Arteria Soal Bahasa Sunda , DPR Sebut Konstitusi Melindungi Bahasa Daerah","type":"article-newspaper"},"uris":["http://www.mendeley.com/documents/?uuid=b423e39e-e765-4289-b464-6a43673b3826"]}],"mendeley":{"formattedCitation":"(Rahman, 2022)","plainTextFormattedCitation":"(Rahman, 2022)","previouslyFormattedCitation":"(Rahman, 2022)"},"properties":{"noteIndex":0},"schema":"https://github.com/citation-style-language/schema/raw/master/csl-citation.json"}</w:instrText>
      </w:r>
      <w:r w:rsidRPr="003A7B19">
        <w:rPr>
          <w:color w:val="000000" w:themeColor="text1"/>
        </w:rPr>
        <w:fldChar w:fldCharType="separate"/>
      </w:r>
      <w:r w:rsidRPr="003A7B19">
        <w:rPr>
          <w:noProof/>
          <w:color w:val="000000" w:themeColor="text1"/>
        </w:rPr>
        <w:t>(Rahman, 2022)</w:t>
      </w:r>
      <w:r w:rsidRPr="003A7B19">
        <w:rPr>
          <w:color w:val="000000" w:themeColor="text1"/>
        </w:rPr>
        <w:fldChar w:fldCharType="end"/>
      </w:r>
      <w:r w:rsidRPr="003A7B19">
        <w:rPr>
          <w:color w:val="000000" w:themeColor="text1"/>
        </w:rPr>
        <w:t xml:space="preserve">, and insulting skin color </w:t>
      </w:r>
      <w:r w:rsidRPr="003A7B19">
        <w:rPr>
          <w:color w:val="000000" w:themeColor="text1"/>
        </w:rPr>
        <w:fldChar w:fldCharType="begin" w:fldLock="1"/>
      </w:r>
      <w:r w:rsidRPr="003A7B19">
        <w:rPr>
          <w:color w:val="000000" w:themeColor="text1"/>
        </w:rPr>
        <w:instrText>ADDIN CSL_CITATION {"citationItems":[{"id":"ITEM-1","itemData":{"author":[{"dropping-particle":"","family":"Permana","given":"Muhammad","non-dropping-particle":"","parse-names":false,"suffix":""}],"container-title":"Merdeka.com","id":"ITEM-1","issued":{"date-parts":[["2022","1","31"]]},"page":"19","publisher-place":"Surabaya","title":"Guru SMA di Jember berkata rasis ke siswa","type":"article-newspaper"},"uris":["http://www.mendeley.com/documents/?uuid=7db81244-bc7b-427e-a718-5cf3b99c0086"]}],"mendeley":{"formattedCitation":"(Permana, 2022)","plainTextFormattedCitation":"(Permana, 2022)","previouslyFormattedCitation":"(Permana, 2022)"},"properties":{"noteIndex":0},"schema":"https://github.com/citation-style-language/schema/raw/master/csl-citation.json"}</w:instrText>
      </w:r>
      <w:r w:rsidRPr="003A7B19">
        <w:rPr>
          <w:color w:val="000000" w:themeColor="text1"/>
        </w:rPr>
        <w:fldChar w:fldCharType="separate"/>
      </w:r>
      <w:r w:rsidRPr="003A7B19">
        <w:rPr>
          <w:noProof/>
          <w:color w:val="000000" w:themeColor="text1"/>
        </w:rPr>
        <w:t>(Permana, 2022)</w:t>
      </w:r>
      <w:r w:rsidRPr="003A7B19">
        <w:rPr>
          <w:color w:val="000000" w:themeColor="text1"/>
        </w:rPr>
        <w:fldChar w:fldCharType="end"/>
      </w:r>
      <w:r w:rsidRPr="003A7B19">
        <w:rPr>
          <w:color w:val="000000" w:themeColor="text1"/>
        </w:rPr>
        <w:t>. Although the results of these researches recommended conducting more studies, none of them suggest studying multicultural self-efficacy</w:t>
      </w:r>
      <w:r>
        <w:rPr>
          <w:color w:val="000000" w:themeColor="text1"/>
        </w:rPr>
        <w:t xml:space="preserve"> </w:t>
      </w:r>
      <w:r w:rsidRPr="00525B18">
        <w:rPr>
          <w:color w:val="000000" w:themeColor="text1"/>
        </w:rPr>
        <w:t>for more understanding</w:t>
      </w:r>
      <w:r w:rsidRPr="003A7B19">
        <w:rPr>
          <w:color w:val="000000" w:themeColor="text1"/>
        </w:rPr>
        <w:t xml:space="preserve">, including in Bangka-Belitung Province, where the young generation </w:t>
      </w:r>
      <w:r w:rsidRPr="003A7B19">
        <w:rPr>
          <w:color w:val="000000" w:themeColor="text1"/>
        </w:rPr>
        <w:lastRenderedPageBreak/>
        <w:t xml:space="preserve">pursuing secondary education may not be aware of changing quality of cultural diversity in their world. </w:t>
      </w:r>
    </w:p>
    <w:p w14:paraId="750128C0" w14:textId="77777777" w:rsidR="004B334D" w:rsidRDefault="004B334D" w:rsidP="004B334D">
      <w:pPr>
        <w:pStyle w:val="NormalWeb"/>
        <w:spacing w:before="0" w:beforeAutospacing="0" w:after="0" w:afterAutospacing="0"/>
        <w:jc w:val="both"/>
        <w:rPr>
          <w:color w:val="000000" w:themeColor="text1"/>
        </w:rPr>
      </w:pPr>
    </w:p>
    <w:p w14:paraId="488555AB" w14:textId="77777777" w:rsidR="004B334D" w:rsidRDefault="004B334D" w:rsidP="004B334D">
      <w:pPr>
        <w:pStyle w:val="NormalWeb"/>
        <w:spacing w:before="0" w:beforeAutospacing="0" w:after="0" w:afterAutospacing="0"/>
        <w:jc w:val="both"/>
        <w:rPr>
          <w:color w:val="000000" w:themeColor="text1"/>
        </w:rPr>
      </w:pPr>
      <w:r w:rsidRPr="00013225">
        <w:rPr>
          <w:color w:val="000000" w:themeColor="text1"/>
        </w:rPr>
        <w:t xml:space="preserve">Researching how Islamic and public high school students perceive and practice multicultural self-efficacy amid the tense will provide critical data for comprehending it in the present and future. Moreover, the data can contribute to school counseling in </w:t>
      </w:r>
      <w:r>
        <w:rPr>
          <w:color w:val="000000" w:themeColor="text1"/>
        </w:rPr>
        <w:t>doing its</w:t>
      </w:r>
      <w:r w:rsidRPr="00013225">
        <w:rPr>
          <w:color w:val="000000" w:themeColor="text1"/>
        </w:rPr>
        <w:t xml:space="preserve"> understanding function </w:t>
      </w:r>
      <w:r w:rsidRPr="00C51CE2">
        <w:rPr>
          <w:color w:val="000000" w:themeColor="text1"/>
        </w:rPr>
        <w:fldChar w:fldCharType="begin" w:fldLock="1"/>
      </w:r>
      <w:r w:rsidRPr="00C51CE2">
        <w:rPr>
          <w:color w:val="000000" w:themeColor="text1"/>
        </w:rPr>
        <w:instrText>ADDIN CSL_CITATION {"citationItems":[{"id":"ITEM-1","itemData":{"author":[{"dropping-particle":"","family":"Myrick","given":"Robert D.","non-dropping-particle":"","parse-names":false,"suffix":""}],"edition":"5th","id":"ITEM-1","issued":{"date-parts":[["2011"]]},"number-of-pages":"502","publisher":"Educational Media Corporation","publisher-place":"Minneapolis","title":"Developmental guidance and counseling: A practical approach","type":"book"},"uris":["http://www.mendeley.com/documents/?uuid=2255d0d0-1d93-46d2-9b26-d8142fa4f768"]}],"mendeley":{"formattedCitation":"(Myrick, 2011)","plainTextFormattedCitation":"(Myrick, 2011)","previouslyFormattedCitation":"(Myrick, 2011)"},"properties":{"noteIndex":0},"schema":"https://github.com/citation-style-language/schema/raw/master/csl-citation.json"}</w:instrText>
      </w:r>
      <w:r w:rsidRPr="00C51CE2">
        <w:rPr>
          <w:color w:val="000000" w:themeColor="text1"/>
        </w:rPr>
        <w:fldChar w:fldCharType="separate"/>
      </w:r>
      <w:r w:rsidRPr="00C51CE2">
        <w:rPr>
          <w:noProof/>
          <w:color w:val="000000" w:themeColor="text1"/>
        </w:rPr>
        <w:t>(Myrick, 2011)</w:t>
      </w:r>
      <w:r w:rsidRPr="00C51CE2">
        <w:rPr>
          <w:color w:val="000000" w:themeColor="text1"/>
        </w:rPr>
        <w:fldChar w:fldCharType="end"/>
      </w:r>
      <w:r w:rsidRPr="00C51CE2">
        <w:rPr>
          <w:color w:val="000000" w:themeColor="text1"/>
        </w:rPr>
        <w:t xml:space="preserve"> </w:t>
      </w:r>
      <w:r w:rsidRPr="00013225">
        <w:rPr>
          <w:color w:val="000000" w:themeColor="text1"/>
        </w:rPr>
        <w:t>and engage school counselors in the best position to implement multicultural education by restructuring schools so the students can succeed</w:t>
      </w:r>
      <w:r>
        <w:rPr>
          <w:color w:val="000000" w:themeColor="text1"/>
        </w:rPr>
        <w:t xml:space="preserve"> </w:t>
      </w:r>
      <w:r w:rsidRPr="00C51CE2">
        <w:rPr>
          <w:rFonts w:eastAsia="Times New Roman"/>
          <w:color w:val="000000" w:themeColor="text1"/>
          <w:lang w:val="en-PH"/>
        </w:rPr>
        <w:fldChar w:fldCharType="begin" w:fldLock="1"/>
      </w:r>
      <w:r w:rsidRPr="00C51CE2">
        <w:rPr>
          <w:rFonts w:eastAsia="Times New Roman"/>
          <w:color w:val="000000" w:themeColor="text1"/>
          <w:lang w:val="en-PH"/>
        </w:rPr>
        <w:instrText>ADDIN CSL_CITATION {"citationItems":[{"id":"ITEM-1","itemData":{"abstract":"Multicultural education is an educational approach designed to ensure equal educational opportunities for all students, including those in marginalized groups. This approach has historically been directed towards teachers, but school counselors have the appropriate training and skills to lead multicultural education efforts, as well. In this article, the five dimensions of multicultural education are described and examples are provided that suggest how school counselors can use each dimension in order to create a context in which all students succeed. Keywords:","author":[{"dropping-particle":"","family":"Merlin","given":"C.","non-dropping-particle":"","parse-names":false,"suffix":""}],"container-title":"Journal of School Counseling","id":"ITEM-1","issue":"6","issued":{"date-parts":[["2017"]]},"page":"31","title":"School Counselors and Multicultural Education: Applying the Five Dimensions Clare Merlin University of North Carolina, Charlotte","type":"article-journal","volume":"15"},"uris":["http://www.mendeley.com/documents/?uuid=80025d11-dd99-449d-af8f-182f37b5ceff"]}],"mendeley":{"formattedCitation":"(Merlin, 2017)","plainTextFormattedCitation":"(Merlin, 2017)","previouslyFormattedCitation":"(Merlin, 2017)"},"properties":{"noteIndex":0},"schema":"https://github.com/citation-style-language/schema/raw/master/csl-citation.json"}</w:instrText>
      </w:r>
      <w:r w:rsidRPr="00C51CE2">
        <w:rPr>
          <w:rFonts w:eastAsia="Times New Roman"/>
          <w:color w:val="000000" w:themeColor="text1"/>
          <w:lang w:val="en-PH"/>
        </w:rPr>
        <w:fldChar w:fldCharType="separate"/>
      </w:r>
      <w:r w:rsidRPr="00C51CE2">
        <w:rPr>
          <w:rFonts w:eastAsia="Times New Roman"/>
          <w:noProof/>
          <w:color w:val="000000" w:themeColor="text1"/>
          <w:lang w:val="en-PH"/>
        </w:rPr>
        <w:t>(Merlin, 2017)</w:t>
      </w:r>
      <w:r w:rsidRPr="00C51CE2">
        <w:rPr>
          <w:rFonts w:eastAsia="Times New Roman"/>
          <w:color w:val="000000" w:themeColor="text1"/>
          <w:lang w:val="en-PH"/>
        </w:rPr>
        <w:fldChar w:fldCharType="end"/>
      </w:r>
      <w:r w:rsidRPr="00C51CE2">
        <w:rPr>
          <w:rFonts w:eastAsia="Times New Roman"/>
          <w:color w:val="000000" w:themeColor="text1"/>
          <w:lang w:val="en-PH"/>
        </w:rPr>
        <w:t xml:space="preserve">. </w:t>
      </w:r>
      <w:r w:rsidRPr="00013225">
        <w:rPr>
          <w:color w:val="000000" w:themeColor="text1"/>
        </w:rPr>
        <w:t xml:space="preserve">Because of information scarcity on multicultural self-efficacy among Islamic and public high school students in the province where the multicultural practice historically takes place, the current research will provide new </w:t>
      </w:r>
      <w:commentRangeStart w:id="7"/>
      <w:r w:rsidRPr="00013225">
        <w:rPr>
          <w:color w:val="000000" w:themeColor="text1"/>
        </w:rPr>
        <w:t>evidence</w:t>
      </w:r>
      <w:commentRangeEnd w:id="7"/>
      <w:r>
        <w:rPr>
          <w:rStyle w:val="CommentReference"/>
          <w:lang w:val="en-PH"/>
        </w:rPr>
        <w:commentReference w:id="7"/>
      </w:r>
      <w:r w:rsidRPr="00013225">
        <w:rPr>
          <w:color w:val="000000" w:themeColor="text1"/>
        </w:rPr>
        <w:t xml:space="preserve">. </w:t>
      </w:r>
      <w:r>
        <w:rPr>
          <w:color w:val="000000" w:themeColor="text1"/>
        </w:rPr>
        <w:t xml:space="preserve">By utilizing the evidence, </w:t>
      </w:r>
      <w:r w:rsidRPr="00013225">
        <w:rPr>
          <w:color w:val="000000" w:themeColor="text1"/>
        </w:rPr>
        <w:t>school counselors may have unmistakable perspectives of their students and plan various counseling programs to meet their needs</w:t>
      </w:r>
      <w:r w:rsidRPr="00C51CE2">
        <w:rPr>
          <w:color w:val="000000" w:themeColor="text1"/>
        </w:rPr>
        <w:t xml:space="preserve"> </w:t>
      </w:r>
      <w:r w:rsidRPr="00C51CE2">
        <w:rPr>
          <w:color w:val="000000" w:themeColor="text1"/>
        </w:rPr>
        <w:fldChar w:fldCharType="begin" w:fldLock="1"/>
      </w:r>
      <w:r w:rsidRPr="00C51CE2">
        <w:rPr>
          <w:color w:val="000000" w:themeColor="text1"/>
        </w:rPr>
        <w:instrText>ADDIN CSL_CITATION {"citationItems":[{"id":"ITEM-1","itemData":{"ISBN":"978-0-205-54040","author":[{"dropping-particle":"","family":"Schmidt","given":"John.J","non-dropping-particle":"","parse-names":false,"suffix":""}],"edition":"5th","id":"ITEM-1","issued":{"date-parts":[["2008"]]},"publisher":"Pearson","publisher-place":"Boston","title":"Counseling in schools: Comprehensive programs of responsive services for all students","type":"book"},"uris":["http://www.mendeley.com/documents/?uuid=c47dd9d4-cf28-4efc-80d7-f7d648d851c6"]}],"mendeley":{"formattedCitation":"(Schmidt, 2008)","plainTextFormattedCitation":"(Schmidt, 2008)","previouslyFormattedCitation":"(Schmidt, 2008)"},"properties":{"noteIndex":0},"schema":"https://github.com/citation-style-language/schema/raw/master/csl-citation.json"}</w:instrText>
      </w:r>
      <w:r w:rsidRPr="00C51CE2">
        <w:rPr>
          <w:color w:val="000000" w:themeColor="text1"/>
        </w:rPr>
        <w:fldChar w:fldCharType="separate"/>
      </w:r>
      <w:r w:rsidRPr="00C51CE2">
        <w:rPr>
          <w:noProof/>
          <w:color w:val="000000" w:themeColor="text1"/>
        </w:rPr>
        <w:t>(Schmidt, 2008)</w:t>
      </w:r>
      <w:r w:rsidRPr="00C51CE2">
        <w:rPr>
          <w:color w:val="000000" w:themeColor="text1"/>
        </w:rPr>
        <w:fldChar w:fldCharType="end"/>
      </w:r>
      <w:r w:rsidRPr="00C51CE2">
        <w:rPr>
          <w:color w:val="000000" w:themeColor="text1"/>
        </w:rPr>
        <w:t xml:space="preserve">. </w:t>
      </w:r>
      <w:commentRangeStart w:id="8"/>
      <w:r w:rsidRPr="00C51CE2">
        <w:rPr>
          <w:color w:val="000000" w:themeColor="text1"/>
        </w:rPr>
        <w:t>For</w:t>
      </w:r>
      <w:commentRangeEnd w:id="8"/>
      <w:r>
        <w:rPr>
          <w:rStyle w:val="CommentReference"/>
          <w:lang w:val="en-PH"/>
        </w:rPr>
        <w:commentReference w:id="8"/>
      </w:r>
      <w:r w:rsidRPr="00C51CE2">
        <w:rPr>
          <w:color w:val="000000" w:themeColor="text1"/>
        </w:rPr>
        <w:t xml:space="preserve"> this purpose, this study aimed to investigate the difference in multicultural self-efficacy between Islamic and public high school students.</w:t>
      </w:r>
    </w:p>
    <w:p w14:paraId="3E346E24" w14:textId="77777777" w:rsidR="004B334D" w:rsidRPr="00C51CE2" w:rsidRDefault="004B334D" w:rsidP="004B334D">
      <w:pPr>
        <w:pStyle w:val="NormalWeb"/>
        <w:spacing w:before="0" w:beforeAutospacing="0" w:after="0" w:afterAutospacing="0"/>
        <w:jc w:val="both"/>
        <w:rPr>
          <w:color w:val="000000" w:themeColor="text1"/>
        </w:rPr>
      </w:pPr>
    </w:p>
    <w:p w14:paraId="7C723FEE" w14:textId="77777777" w:rsidR="004B334D" w:rsidRPr="00C51CE2" w:rsidRDefault="004B334D" w:rsidP="004B334D">
      <w:pPr>
        <w:pStyle w:val="NormalWeb"/>
        <w:spacing w:before="0" w:beforeAutospacing="0" w:after="0" w:afterAutospacing="0"/>
        <w:jc w:val="both"/>
        <w:rPr>
          <w:rFonts w:asciiTheme="minorHAnsi" w:hAnsiTheme="minorHAnsi" w:cstheme="minorHAnsi"/>
          <w:b/>
          <w:color w:val="000000" w:themeColor="text1"/>
        </w:rPr>
      </w:pPr>
      <w:commentRangeStart w:id="9"/>
      <w:r w:rsidRPr="00C51CE2">
        <w:rPr>
          <w:rFonts w:asciiTheme="minorHAnsi" w:hAnsiTheme="minorHAnsi" w:cstheme="minorHAnsi"/>
          <w:b/>
          <w:color w:val="000000" w:themeColor="text1"/>
        </w:rPr>
        <w:t>Hypothese</w:t>
      </w:r>
      <w:r>
        <w:rPr>
          <w:rFonts w:asciiTheme="minorHAnsi" w:hAnsiTheme="minorHAnsi" w:cstheme="minorHAnsi"/>
          <w:b/>
          <w:color w:val="000000" w:themeColor="text1"/>
        </w:rPr>
        <w:t>s</w:t>
      </w:r>
      <w:commentRangeEnd w:id="9"/>
      <w:r>
        <w:rPr>
          <w:rStyle w:val="CommentReference"/>
          <w:lang w:val="en-PH"/>
        </w:rPr>
        <w:commentReference w:id="9"/>
      </w:r>
    </w:p>
    <w:p w14:paraId="460B7A08" w14:textId="77777777" w:rsidR="004B334D" w:rsidRPr="00C51CE2" w:rsidRDefault="004B334D" w:rsidP="004B334D">
      <w:pPr>
        <w:pStyle w:val="NormalWeb"/>
        <w:spacing w:before="0" w:beforeAutospacing="0" w:after="0" w:afterAutospacing="0"/>
        <w:jc w:val="both"/>
        <w:rPr>
          <w:color w:val="000000" w:themeColor="text1"/>
        </w:rPr>
      </w:pPr>
      <w:r w:rsidRPr="00C51CE2">
        <w:rPr>
          <w:color w:val="000000" w:themeColor="text1"/>
        </w:rPr>
        <w:t>There is no difference between the self-efficacy of Islamic and public high school</w:t>
      </w:r>
      <w:r>
        <w:rPr>
          <w:color w:val="000000" w:themeColor="text1"/>
        </w:rPr>
        <w:t xml:space="preserve"> </w:t>
      </w:r>
      <w:r w:rsidRPr="00C51CE2">
        <w:rPr>
          <w:color w:val="000000" w:themeColor="text1"/>
        </w:rPr>
        <w:t>students.</w:t>
      </w:r>
    </w:p>
    <w:p w14:paraId="41556663" w14:textId="77777777" w:rsidR="004B334D" w:rsidRPr="00C51CE2" w:rsidRDefault="004B334D" w:rsidP="004B334D">
      <w:pPr>
        <w:pStyle w:val="NormalWeb"/>
        <w:spacing w:before="0" w:beforeAutospacing="0" w:after="0" w:afterAutospacing="0"/>
        <w:ind w:left="284" w:hanging="284"/>
        <w:jc w:val="both"/>
        <w:rPr>
          <w:rFonts w:asciiTheme="minorHAnsi" w:hAnsiTheme="minorHAnsi" w:cstheme="minorHAnsi"/>
          <w:b/>
          <w:color w:val="000000" w:themeColor="text1"/>
        </w:rPr>
      </w:pPr>
    </w:p>
    <w:p w14:paraId="0445C9DF" w14:textId="77777777" w:rsidR="004B334D" w:rsidRPr="00C51CE2" w:rsidRDefault="004B334D" w:rsidP="004B334D">
      <w:pPr>
        <w:rPr>
          <w:rFonts w:cstheme="minorHAnsi"/>
          <w:b/>
          <w:color w:val="000000" w:themeColor="text1"/>
        </w:rPr>
      </w:pPr>
      <w:commentRangeStart w:id="10"/>
      <w:commentRangeStart w:id="11"/>
      <w:r w:rsidRPr="00C51CE2">
        <w:rPr>
          <w:rFonts w:cstheme="minorHAnsi"/>
          <w:b/>
          <w:color w:val="000000" w:themeColor="text1"/>
        </w:rPr>
        <w:t>METHODS</w:t>
      </w:r>
      <w:commentRangeEnd w:id="10"/>
      <w:r w:rsidRPr="00C51CE2">
        <w:rPr>
          <w:rStyle w:val="CommentReference"/>
          <w:rFonts w:cstheme="minorHAnsi"/>
          <w:color w:val="000000" w:themeColor="text1"/>
        </w:rPr>
        <w:commentReference w:id="10"/>
      </w:r>
      <w:commentRangeEnd w:id="11"/>
      <w:r>
        <w:rPr>
          <w:rStyle w:val="CommentReference"/>
        </w:rPr>
        <w:commentReference w:id="11"/>
      </w:r>
    </w:p>
    <w:p w14:paraId="045E24B1" w14:textId="77777777" w:rsidR="004B334D" w:rsidRPr="00C51CE2" w:rsidRDefault="004B334D" w:rsidP="004B334D">
      <w:pPr>
        <w:pStyle w:val="yange2"/>
        <w:numPr>
          <w:ilvl w:val="0"/>
          <w:numId w:val="0"/>
        </w:numPr>
        <w:ind w:left="720" w:hanging="720"/>
        <w:rPr>
          <w:rFonts w:asciiTheme="minorHAnsi" w:hAnsiTheme="minorHAnsi" w:cstheme="minorHAnsi"/>
          <w:b/>
          <w:color w:val="000000" w:themeColor="text1"/>
          <w:sz w:val="24"/>
        </w:rPr>
      </w:pPr>
      <w:r w:rsidRPr="00C51CE2">
        <w:rPr>
          <w:rFonts w:asciiTheme="minorHAnsi" w:hAnsiTheme="minorHAnsi" w:cstheme="minorHAnsi"/>
          <w:b/>
          <w:color w:val="000000" w:themeColor="text1"/>
          <w:sz w:val="24"/>
        </w:rPr>
        <w:t>Research design</w:t>
      </w:r>
    </w:p>
    <w:p w14:paraId="2AB24204" w14:textId="77777777" w:rsidR="004B334D" w:rsidRPr="00C51CE2" w:rsidRDefault="004B334D" w:rsidP="004B334D">
      <w:pPr>
        <w:widowControl w:val="0"/>
        <w:autoSpaceDE w:val="0"/>
        <w:autoSpaceDN w:val="0"/>
        <w:adjustRightInd w:val="0"/>
        <w:jc w:val="both"/>
        <w:rPr>
          <w:color w:val="000000" w:themeColor="text1"/>
        </w:rPr>
      </w:pPr>
      <w:r w:rsidRPr="00C51CE2">
        <w:rPr>
          <w:color w:val="000000" w:themeColor="text1"/>
        </w:rPr>
        <w:t>This study utilized a comparative design to achieve its objective. Comparison ultimately was addressed to students of Islamic high schools and their peers of public high schools in multicultural self-efficacy. In addition, it included comparing the efficacy by gender and grade level of the respondents as well.</w:t>
      </w:r>
    </w:p>
    <w:p w14:paraId="139B5146" w14:textId="77777777" w:rsidR="004B334D" w:rsidRPr="00C51CE2" w:rsidRDefault="004B334D" w:rsidP="004B334D">
      <w:pPr>
        <w:pStyle w:val="yange2"/>
        <w:numPr>
          <w:ilvl w:val="0"/>
          <w:numId w:val="0"/>
        </w:numPr>
        <w:rPr>
          <w:rFonts w:ascii="Times New Roman" w:hAnsi="Times New Roman" w:cs="Times New Roman"/>
          <w:color w:val="000000" w:themeColor="text1"/>
          <w:sz w:val="24"/>
        </w:rPr>
      </w:pPr>
    </w:p>
    <w:p w14:paraId="48899849" w14:textId="77777777" w:rsidR="004B334D" w:rsidRPr="00C51CE2" w:rsidRDefault="004B334D" w:rsidP="004B334D">
      <w:pPr>
        <w:pStyle w:val="yange2"/>
        <w:numPr>
          <w:ilvl w:val="0"/>
          <w:numId w:val="0"/>
        </w:numPr>
        <w:ind w:left="720" w:hanging="720"/>
        <w:rPr>
          <w:rFonts w:asciiTheme="minorHAnsi" w:hAnsiTheme="minorHAnsi" w:cstheme="minorHAnsi"/>
          <w:b/>
          <w:color w:val="000000" w:themeColor="text1"/>
          <w:sz w:val="24"/>
        </w:rPr>
      </w:pPr>
      <w:r w:rsidRPr="00C51CE2">
        <w:rPr>
          <w:rFonts w:asciiTheme="minorHAnsi" w:hAnsiTheme="minorHAnsi" w:cstheme="minorHAnsi"/>
          <w:b/>
          <w:color w:val="000000" w:themeColor="text1"/>
          <w:sz w:val="24"/>
        </w:rPr>
        <w:t>Participants</w:t>
      </w:r>
      <w:bookmarkStart w:id="12" w:name="_GoBack"/>
      <w:bookmarkEnd w:id="12"/>
    </w:p>
    <w:p w14:paraId="61A408A7" w14:textId="77777777" w:rsidR="004B334D" w:rsidRPr="00C51CE2" w:rsidRDefault="004B334D" w:rsidP="004B334D">
      <w:pPr>
        <w:pStyle w:val="yange2"/>
        <w:numPr>
          <w:ilvl w:val="0"/>
          <w:numId w:val="0"/>
        </w:numPr>
        <w:rPr>
          <w:rFonts w:ascii="Times New Roman" w:hAnsi="Times New Roman" w:cs="Times New Roman"/>
          <w:color w:val="000000" w:themeColor="text1"/>
          <w:sz w:val="24"/>
        </w:rPr>
      </w:pPr>
      <w:commentRangeStart w:id="13"/>
      <w:commentRangeStart w:id="14"/>
      <w:r w:rsidRPr="00C51CE2">
        <w:rPr>
          <w:rFonts w:ascii="Times New Roman" w:hAnsi="Times New Roman" w:cs="Times New Roman"/>
          <w:color w:val="000000" w:themeColor="text1"/>
          <w:sz w:val="24"/>
        </w:rPr>
        <w:t xml:space="preserve">Respondents of this study were students of Islamic High School 1 Sungai </w:t>
      </w:r>
      <w:proofErr w:type="spellStart"/>
      <w:r w:rsidRPr="00C51CE2">
        <w:rPr>
          <w:rFonts w:ascii="Times New Roman" w:hAnsi="Times New Roman" w:cs="Times New Roman"/>
          <w:color w:val="000000" w:themeColor="text1"/>
          <w:sz w:val="24"/>
        </w:rPr>
        <w:t>Liat</w:t>
      </w:r>
      <w:proofErr w:type="spellEnd"/>
      <w:r w:rsidRPr="00C51CE2">
        <w:rPr>
          <w:rFonts w:ascii="Times New Roman" w:hAnsi="Times New Roman" w:cs="Times New Roman"/>
          <w:color w:val="000000" w:themeColor="text1"/>
          <w:sz w:val="24"/>
        </w:rPr>
        <w:t xml:space="preserve"> and Public High School 1 in </w:t>
      </w:r>
      <w:proofErr w:type="spellStart"/>
      <w:r w:rsidRPr="00C51CE2">
        <w:rPr>
          <w:rFonts w:ascii="Times New Roman" w:hAnsi="Times New Roman" w:cs="Times New Roman"/>
          <w:color w:val="000000" w:themeColor="text1"/>
          <w:sz w:val="24"/>
        </w:rPr>
        <w:t>Pangkal</w:t>
      </w:r>
      <w:proofErr w:type="spellEnd"/>
      <w:r w:rsidRPr="00C51CE2">
        <w:rPr>
          <w:rFonts w:ascii="Times New Roman" w:hAnsi="Times New Roman" w:cs="Times New Roman"/>
          <w:color w:val="000000" w:themeColor="text1"/>
          <w:sz w:val="24"/>
        </w:rPr>
        <w:t xml:space="preserve"> Pinang, Bangka Belitung Province.</w:t>
      </w:r>
      <w:commentRangeEnd w:id="13"/>
      <w:r w:rsidRPr="00C51CE2">
        <w:rPr>
          <w:color w:val="000000" w:themeColor="text1"/>
        </w:rPr>
        <w:commentReference w:id="13"/>
      </w:r>
      <w:commentRangeEnd w:id="14"/>
      <w:r>
        <w:rPr>
          <w:rStyle w:val="CommentReference"/>
          <w:lang w:val="en-PH"/>
        </w:rPr>
        <w:commentReference w:id="14"/>
      </w:r>
      <w:r w:rsidRPr="00C51CE2">
        <w:rPr>
          <w:rFonts w:ascii="Times New Roman" w:hAnsi="Times New Roman" w:cs="Times New Roman"/>
          <w:color w:val="000000" w:themeColor="text1"/>
          <w:sz w:val="24"/>
        </w:rPr>
        <w:t xml:space="preserve"> Both schools were considered representative of Islamic and public high schools. Projected respondents were 25% of the total students from each school. However, not all samples responded to the invitation after two weeks of administrating the instrument. Table 1 displays the demographic information of respondents.</w:t>
      </w:r>
    </w:p>
    <w:p w14:paraId="6CECCA3A" w14:textId="77777777" w:rsidR="004B334D" w:rsidRDefault="004B334D" w:rsidP="004B334D">
      <w:pPr>
        <w:pStyle w:val="yange2"/>
        <w:numPr>
          <w:ilvl w:val="0"/>
          <w:numId w:val="0"/>
        </w:numPr>
        <w:ind w:firstLine="567"/>
        <w:rPr>
          <w:rFonts w:ascii="Times New Roman" w:hAnsi="Times New Roman" w:cs="Times New Roman"/>
          <w:color w:val="000000" w:themeColor="text1"/>
          <w:sz w:val="24"/>
        </w:rPr>
      </w:pPr>
    </w:p>
    <w:p w14:paraId="531711EC" w14:textId="77777777" w:rsidR="004B334D" w:rsidRPr="00C51CE2" w:rsidRDefault="004B334D" w:rsidP="004B334D">
      <w:pPr>
        <w:pStyle w:val="yange2"/>
        <w:numPr>
          <w:ilvl w:val="0"/>
          <w:numId w:val="0"/>
        </w:numPr>
        <w:ind w:firstLine="567"/>
        <w:rPr>
          <w:rFonts w:ascii="Times New Roman" w:hAnsi="Times New Roman" w:cs="Times New Roman"/>
          <w:color w:val="000000" w:themeColor="text1"/>
          <w:sz w:val="24"/>
        </w:rPr>
      </w:pPr>
    </w:p>
    <w:p w14:paraId="37177881" w14:textId="77777777" w:rsidR="004B334D" w:rsidRPr="00C51CE2" w:rsidRDefault="004B334D" w:rsidP="004B334D">
      <w:pPr>
        <w:spacing w:line="276" w:lineRule="auto"/>
        <w:ind w:firstLine="567"/>
        <w:jc w:val="both"/>
        <w:rPr>
          <w:color w:val="000000" w:themeColor="text1"/>
        </w:rPr>
      </w:pPr>
      <w:r w:rsidRPr="00C51CE2">
        <w:rPr>
          <w:color w:val="000000" w:themeColor="text1"/>
        </w:rPr>
        <w:t xml:space="preserve">Table 1. Demographic Information  of </w:t>
      </w:r>
      <w:r>
        <w:rPr>
          <w:color w:val="000000" w:themeColor="text1"/>
        </w:rPr>
        <w:t>Participants</w:t>
      </w:r>
      <w:commentRangeStart w:id="15"/>
      <w:commentRangeEnd w:id="15"/>
      <w:r>
        <w:rPr>
          <w:rStyle w:val="CommentReference"/>
        </w:rPr>
        <w:commentReference w:id="15"/>
      </w:r>
    </w:p>
    <w:p w14:paraId="1A76CAAD" w14:textId="77777777" w:rsidR="004B334D" w:rsidRPr="00C51CE2" w:rsidRDefault="004B334D" w:rsidP="004B334D">
      <w:pPr>
        <w:pStyle w:val="yange2"/>
        <w:numPr>
          <w:ilvl w:val="0"/>
          <w:numId w:val="0"/>
        </w:numPr>
        <w:ind w:firstLine="567"/>
        <w:rPr>
          <w:rFonts w:ascii="Times New Roman" w:hAnsi="Times New Roman" w:cs="Times New Roman"/>
          <w:color w:val="000000" w:themeColor="text1"/>
          <w:sz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1525"/>
        <w:gridCol w:w="1418"/>
        <w:gridCol w:w="2409"/>
      </w:tblGrid>
      <w:tr w:rsidR="004B334D" w:rsidRPr="00C51CE2" w14:paraId="56C1F3B0" w14:textId="77777777" w:rsidTr="007E4CDF">
        <w:tc>
          <w:tcPr>
            <w:tcW w:w="2127" w:type="dxa"/>
            <w:tcBorders>
              <w:top w:val="single" w:sz="4" w:space="0" w:color="auto"/>
              <w:bottom w:val="single" w:sz="4" w:space="0" w:color="auto"/>
            </w:tcBorders>
          </w:tcPr>
          <w:p w14:paraId="5A4A1235" w14:textId="77777777" w:rsidR="004B334D" w:rsidRPr="00C51CE2" w:rsidRDefault="004B334D" w:rsidP="007E4CDF">
            <w:pPr>
              <w:spacing w:line="276" w:lineRule="auto"/>
              <w:jc w:val="center"/>
              <w:rPr>
                <w:color w:val="000000" w:themeColor="text1"/>
              </w:rPr>
            </w:pPr>
            <w:r w:rsidRPr="00C51CE2">
              <w:rPr>
                <w:color w:val="000000" w:themeColor="text1"/>
              </w:rPr>
              <w:t>Categories</w:t>
            </w:r>
          </w:p>
        </w:tc>
        <w:tc>
          <w:tcPr>
            <w:tcW w:w="1525" w:type="dxa"/>
            <w:tcBorders>
              <w:top w:val="single" w:sz="4" w:space="0" w:color="auto"/>
              <w:bottom w:val="single" w:sz="4" w:space="0" w:color="auto"/>
            </w:tcBorders>
          </w:tcPr>
          <w:p w14:paraId="66A96068" w14:textId="77777777" w:rsidR="004B334D" w:rsidRPr="00C51CE2" w:rsidRDefault="004B334D" w:rsidP="007E4CDF">
            <w:pPr>
              <w:spacing w:line="276" w:lineRule="auto"/>
              <w:jc w:val="center"/>
              <w:rPr>
                <w:color w:val="000000" w:themeColor="text1"/>
              </w:rPr>
            </w:pPr>
            <w:r w:rsidRPr="00C51CE2">
              <w:rPr>
                <w:color w:val="000000" w:themeColor="text1"/>
              </w:rPr>
              <w:t>Islamic High School</w:t>
            </w:r>
          </w:p>
        </w:tc>
        <w:tc>
          <w:tcPr>
            <w:tcW w:w="1418" w:type="dxa"/>
            <w:tcBorders>
              <w:top w:val="single" w:sz="4" w:space="0" w:color="auto"/>
              <w:bottom w:val="single" w:sz="4" w:space="0" w:color="auto"/>
            </w:tcBorders>
          </w:tcPr>
          <w:p w14:paraId="0AE457DE" w14:textId="77777777" w:rsidR="004B334D" w:rsidRPr="00C51CE2" w:rsidRDefault="004B334D" w:rsidP="007E4CDF">
            <w:pPr>
              <w:spacing w:line="276" w:lineRule="auto"/>
              <w:jc w:val="center"/>
              <w:rPr>
                <w:color w:val="000000" w:themeColor="text1"/>
              </w:rPr>
            </w:pPr>
            <w:r w:rsidRPr="00C51CE2">
              <w:rPr>
                <w:color w:val="000000" w:themeColor="text1"/>
              </w:rPr>
              <w:t>Public High School</w:t>
            </w:r>
          </w:p>
        </w:tc>
        <w:tc>
          <w:tcPr>
            <w:tcW w:w="2409" w:type="dxa"/>
            <w:tcBorders>
              <w:top w:val="single" w:sz="4" w:space="0" w:color="auto"/>
              <w:bottom w:val="single" w:sz="4" w:space="0" w:color="auto"/>
            </w:tcBorders>
          </w:tcPr>
          <w:p w14:paraId="750B8A34" w14:textId="77777777" w:rsidR="004B334D" w:rsidRPr="00C51CE2" w:rsidRDefault="004B334D" w:rsidP="007E4CDF">
            <w:pPr>
              <w:spacing w:line="276" w:lineRule="auto"/>
              <w:jc w:val="center"/>
              <w:rPr>
                <w:color w:val="000000" w:themeColor="text1"/>
              </w:rPr>
            </w:pPr>
            <w:r w:rsidRPr="00C51CE2">
              <w:rPr>
                <w:color w:val="000000" w:themeColor="text1"/>
              </w:rPr>
              <w:t>Total</w:t>
            </w:r>
          </w:p>
        </w:tc>
      </w:tr>
      <w:tr w:rsidR="004B334D" w:rsidRPr="00C51CE2" w14:paraId="1A670017" w14:textId="77777777" w:rsidTr="007E4CDF">
        <w:tc>
          <w:tcPr>
            <w:tcW w:w="2127" w:type="dxa"/>
            <w:tcBorders>
              <w:top w:val="single" w:sz="4" w:space="0" w:color="auto"/>
            </w:tcBorders>
          </w:tcPr>
          <w:p w14:paraId="69AE7815" w14:textId="77777777" w:rsidR="004B334D" w:rsidRPr="00C51CE2" w:rsidRDefault="004B334D" w:rsidP="007E4CDF">
            <w:pPr>
              <w:spacing w:line="276" w:lineRule="auto"/>
              <w:rPr>
                <w:color w:val="000000" w:themeColor="text1"/>
              </w:rPr>
            </w:pPr>
            <w:r w:rsidRPr="00C51CE2">
              <w:rPr>
                <w:color w:val="000000" w:themeColor="text1"/>
              </w:rPr>
              <w:t>Number of students</w:t>
            </w:r>
          </w:p>
        </w:tc>
        <w:tc>
          <w:tcPr>
            <w:tcW w:w="1525" w:type="dxa"/>
            <w:tcBorders>
              <w:top w:val="single" w:sz="4" w:space="0" w:color="auto"/>
            </w:tcBorders>
          </w:tcPr>
          <w:p w14:paraId="6541B2F7" w14:textId="77777777" w:rsidR="004B334D" w:rsidRPr="00C51CE2" w:rsidRDefault="004B334D" w:rsidP="007E4CDF">
            <w:pPr>
              <w:spacing w:line="276" w:lineRule="auto"/>
              <w:jc w:val="center"/>
              <w:rPr>
                <w:color w:val="000000" w:themeColor="text1"/>
              </w:rPr>
            </w:pPr>
            <w:r w:rsidRPr="00C51CE2">
              <w:rPr>
                <w:color w:val="000000" w:themeColor="text1"/>
              </w:rPr>
              <w:t>123</w:t>
            </w:r>
          </w:p>
        </w:tc>
        <w:tc>
          <w:tcPr>
            <w:tcW w:w="1418" w:type="dxa"/>
            <w:tcBorders>
              <w:top w:val="single" w:sz="4" w:space="0" w:color="auto"/>
            </w:tcBorders>
          </w:tcPr>
          <w:p w14:paraId="247B98CE" w14:textId="77777777" w:rsidR="004B334D" w:rsidRPr="00C51CE2" w:rsidRDefault="004B334D" w:rsidP="007E4CDF">
            <w:pPr>
              <w:spacing w:line="276" w:lineRule="auto"/>
              <w:jc w:val="center"/>
              <w:rPr>
                <w:color w:val="000000" w:themeColor="text1"/>
              </w:rPr>
            </w:pPr>
            <w:r w:rsidRPr="00C51CE2">
              <w:rPr>
                <w:color w:val="000000" w:themeColor="text1"/>
              </w:rPr>
              <w:t>123</w:t>
            </w:r>
          </w:p>
        </w:tc>
        <w:tc>
          <w:tcPr>
            <w:tcW w:w="2409" w:type="dxa"/>
            <w:tcBorders>
              <w:top w:val="single" w:sz="4" w:space="0" w:color="auto"/>
            </w:tcBorders>
          </w:tcPr>
          <w:p w14:paraId="34A1DFF8" w14:textId="77777777" w:rsidR="004B334D" w:rsidRPr="00C51CE2" w:rsidRDefault="004B334D" w:rsidP="007E4CDF">
            <w:pPr>
              <w:spacing w:line="276" w:lineRule="auto"/>
              <w:jc w:val="center"/>
              <w:rPr>
                <w:color w:val="000000" w:themeColor="text1"/>
              </w:rPr>
            </w:pPr>
            <w:r w:rsidRPr="00C51CE2">
              <w:rPr>
                <w:color w:val="000000" w:themeColor="text1"/>
              </w:rPr>
              <w:t>246</w:t>
            </w:r>
          </w:p>
          <w:p w14:paraId="4119EB5C" w14:textId="77777777" w:rsidR="004B334D" w:rsidRPr="00C51CE2" w:rsidRDefault="004B334D" w:rsidP="007E4CDF">
            <w:pPr>
              <w:spacing w:line="276" w:lineRule="auto"/>
              <w:jc w:val="center"/>
              <w:rPr>
                <w:color w:val="000000" w:themeColor="text1"/>
              </w:rPr>
            </w:pPr>
            <w:r w:rsidRPr="00C51CE2">
              <w:rPr>
                <w:color w:val="000000" w:themeColor="text1"/>
              </w:rPr>
              <w:t>(</w:t>
            </w:r>
            <w:r w:rsidRPr="00C51CE2">
              <w:rPr>
                <w:i/>
                <w:color w:val="000000" w:themeColor="text1"/>
              </w:rPr>
              <w:t>Mean</w:t>
            </w:r>
            <w:r w:rsidRPr="00C51CE2">
              <w:rPr>
                <w:color w:val="000000" w:themeColor="text1"/>
              </w:rPr>
              <w:t xml:space="preserve">=16 and </w:t>
            </w:r>
            <w:r w:rsidRPr="00C51CE2">
              <w:rPr>
                <w:i/>
                <w:color w:val="000000" w:themeColor="text1"/>
              </w:rPr>
              <w:t>SD</w:t>
            </w:r>
            <w:r w:rsidRPr="00C51CE2">
              <w:rPr>
                <w:color w:val="000000" w:themeColor="text1"/>
              </w:rPr>
              <w:t>=.9)</w:t>
            </w:r>
          </w:p>
        </w:tc>
      </w:tr>
      <w:tr w:rsidR="004B334D" w:rsidRPr="00C51CE2" w14:paraId="4D56ACE5" w14:textId="77777777" w:rsidTr="007E4CDF">
        <w:tc>
          <w:tcPr>
            <w:tcW w:w="2127" w:type="dxa"/>
          </w:tcPr>
          <w:p w14:paraId="7C7B39C2" w14:textId="77777777" w:rsidR="004B334D" w:rsidRPr="00C51CE2" w:rsidRDefault="004B334D" w:rsidP="007E4CDF">
            <w:pPr>
              <w:spacing w:line="276" w:lineRule="auto"/>
              <w:jc w:val="both"/>
              <w:rPr>
                <w:color w:val="000000" w:themeColor="text1"/>
              </w:rPr>
            </w:pPr>
            <w:r w:rsidRPr="00C51CE2">
              <w:rPr>
                <w:color w:val="000000" w:themeColor="text1"/>
              </w:rPr>
              <w:t>Gender</w:t>
            </w:r>
          </w:p>
        </w:tc>
        <w:tc>
          <w:tcPr>
            <w:tcW w:w="1525" w:type="dxa"/>
          </w:tcPr>
          <w:p w14:paraId="1E63CBA7" w14:textId="77777777" w:rsidR="004B334D" w:rsidRPr="00C51CE2" w:rsidRDefault="004B334D" w:rsidP="007E4CDF">
            <w:pPr>
              <w:spacing w:line="276" w:lineRule="auto"/>
              <w:rPr>
                <w:color w:val="000000" w:themeColor="text1"/>
              </w:rPr>
            </w:pPr>
          </w:p>
        </w:tc>
        <w:tc>
          <w:tcPr>
            <w:tcW w:w="1418" w:type="dxa"/>
          </w:tcPr>
          <w:p w14:paraId="75888907" w14:textId="77777777" w:rsidR="004B334D" w:rsidRPr="00C51CE2" w:rsidRDefault="004B334D" w:rsidP="007E4CDF">
            <w:pPr>
              <w:spacing w:line="276" w:lineRule="auto"/>
              <w:jc w:val="center"/>
              <w:rPr>
                <w:color w:val="000000" w:themeColor="text1"/>
              </w:rPr>
            </w:pPr>
          </w:p>
        </w:tc>
        <w:tc>
          <w:tcPr>
            <w:tcW w:w="2409" w:type="dxa"/>
          </w:tcPr>
          <w:p w14:paraId="11FDB6B3" w14:textId="77777777" w:rsidR="004B334D" w:rsidRPr="00C51CE2" w:rsidRDefault="004B334D" w:rsidP="007E4CDF">
            <w:pPr>
              <w:spacing w:line="276" w:lineRule="auto"/>
              <w:jc w:val="center"/>
              <w:rPr>
                <w:color w:val="000000" w:themeColor="text1"/>
              </w:rPr>
            </w:pPr>
          </w:p>
        </w:tc>
      </w:tr>
      <w:tr w:rsidR="004B334D" w:rsidRPr="00C51CE2" w14:paraId="54CC41F3" w14:textId="77777777" w:rsidTr="007E4CDF">
        <w:tc>
          <w:tcPr>
            <w:tcW w:w="2127" w:type="dxa"/>
          </w:tcPr>
          <w:p w14:paraId="1133AC0E" w14:textId="77777777" w:rsidR="004B334D" w:rsidRPr="00C51CE2" w:rsidRDefault="004B334D" w:rsidP="007E4CDF">
            <w:pPr>
              <w:spacing w:line="276" w:lineRule="auto"/>
              <w:ind w:left="426"/>
              <w:jc w:val="both"/>
              <w:rPr>
                <w:color w:val="000000" w:themeColor="text1"/>
              </w:rPr>
            </w:pPr>
            <w:r w:rsidRPr="00C51CE2">
              <w:rPr>
                <w:color w:val="000000" w:themeColor="text1"/>
              </w:rPr>
              <w:lastRenderedPageBreak/>
              <w:t>Male</w:t>
            </w:r>
          </w:p>
        </w:tc>
        <w:tc>
          <w:tcPr>
            <w:tcW w:w="1525" w:type="dxa"/>
          </w:tcPr>
          <w:p w14:paraId="065C46EB" w14:textId="77777777" w:rsidR="004B334D" w:rsidRPr="00C51CE2" w:rsidRDefault="004B334D" w:rsidP="007E4CDF">
            <w:pPr>
              <w:spacing w:line="276" w:lineRule="auto"/>
              <w:jc w:val="center"/>
              <w:rPr>
                <w:color w:val="000000" w:themeColor="text1"/>
              </w:rPr>
            </w:pPr>
            <w:r w:rsidRPr="00C51CE2">
              <w:rPr>
                <w:color w:val="000000" w:themeColor="text1"/>
              </w:rPr>
              <w:t>34</w:t>
            </w:r>
          </w:p>
        </w:tc>
        <w:tc>
          <w:tcPr>
            <w:tcW w:w="1418" w:type="dxa"/>
          </w:tcPr>
          <w:p w14:paraId="1D1950D5" w14:textId="77777777" w:rsidR="004B334D" w:rsidRPr="00C51CE2" w:rsidRDefault="004B334D" w:rsidP="007E4CDF">
            <w:pPr>
              <w:spacing w:line="276" w:lineRule="auto"/>
              <w:jc w:val="center"/>
              <w:rPr>
                <w:color w:val="000000" w:themeColor="text1"/>
              </w:rPr>
            </w:pPr>
            <w:r w:rsidRPr="00C51CE2">
              <w:rPr>
                <w:color w:val="000000" w:themeColor="text1"/>
              </w:rPr>
              <w:t>50</w:t>
            </w:r>
          </w:p>
        </w:tc>
        <w:tc>
          <w:tcPr>
            <w:tcW w:w="2409" w:type="dxa"/>
          </w:tcPr>
          <w:p w14:paraId="6F3EBC57" w14:textId="77777777" w:rsidR="004B334D" w:rsidRPr="00C51CE2" w:rsidRDefault="004B334D" w:rsidP="007E4CDF">
            <w:pPr>
              <w:spacing w:line="276" w:lineRule="auto"/>
              <w:jc w:val="center"/>
              <w:rPr>
                <w:color w:val="000000" w:themeColor="text1"/>
              </w:rPr>
            </w:pPr>
            <w:r w:rsidRPr="00C51CE2">
              <w:rPr>
                <w:color w:val="000000" w:themeColor="text1"/>
              </w:rPr>
              <w:t>84</w:t>
            </w:r>
          </w:p>
        </w:tc>
      </w:tr>
      <w:tr w:rsidR="004B334D" w:rsidRPr="00C51CE2" w14:paraId="6AA3D62C" w14:textId="77777777" w:rsidTr="007E4CDF">
        <w:tc>
          <w:tcPr>
            <w:tcW w:w="2127" w:type="dxa"/>
          </w:tcPr>
          <w:p w14:paraId="3B0AFA4B" w14:textId="77777777" w:rsidR="004B334D" w:rsidRPr="00C51CE2" w:rsidRDefault="004B334D" w:rsidP="007E4CDF">
            <w:pPr>
              <w:spacing w:line="276" w:lineRule="auto"/>
              <w:ind w:left="426"/>
              <w:jc w:val="both"/>
              <w:rPr>
                <w:color w:val="000000" w:themeColor="text1"/>
              </w:rPr>
            </w:pPr>
            <w:r w:rsidRPr="00C51CE2">
              <w:rPr>
                <w:color w:val="000000" w:themeColor="text1"/>
              </w:rPr>
              <w:t>Female</w:t>
            </w:r>
          </w:p>
        </w:tc>
        <w:tc>
          <w:tcPr>
            <w:tcW w:w="1525" w:type="dxa"/>
          </w:tcPr>
          <w:p w14:paraId="2F30E21E" w14:textId="77777777" w:rsidR="004B334D" w:rsidRPr="00C51CE2" w:rsidRDefault="004B334D" w:rsidP="007E4CDF">
            <w:pPr>
              <w:spacing w:line="276" w:lineRule="auto"/>
              <w:jc w:val="center"/>
              <w:rPr>
                <w:color w:val="000000" w:themeColor="text1"/>
              </w:rPr>
            </w:pPr>
            <w:r w:rsidRPr="00C51CE2">
              <w:rPr>
                <w:color w:val="000000" w:themeColor="text1"/>
              </w:rPr>
              <w:t>89</w:t>
            </w:r>
          </w:p>
        </w:tc>
        <w:tc>
          <w:tcPr>
            <w:tcW w:w="1418" w:type="dxa"/>
          </w:tcPr>
          <w:p w14:paraId="015F6EB2" w14:textId="77777777" w:rsidR="004B334D" w:rsidRPr="00C51CE2" w:rsidRDefault="004B334D" w:rsidP="007E4CDF">
            <w:pPr>
              <w:spacing w:line="276" w:lineRule="auto"/>
              <w:jc w:val="center"/>
              <w:rPr>
                <w:color w:val="000000" w:themeColor="text1"/>
              </w:rPr>
            </w:pPr>
            <w:r w:rsidRPr="00C51CE2">
              <w:rPr>
                <w:color w:val="000000" w:themeColor="text1"/>
              </w:rPr>
              <w:t>73</w:t>
            </w:r>
          </w:p>
        </w:tc>
        <w:tc>
          <w:tcPr>
            <w:tcW w:w="2409" w:type="dxa"/>
          </w:tcPr>
          <w:p w14:paraId="45265551" w14:textId="77777777" w:rsidR="004B334D" w:rsidRPr="00C51CE2" w:rsidRDefault="004B334D" w:rsidP="007E4CDF">
            <w:pPr>
              <w:tabs>
                <w:tab w:val="left" w:pos="449"/>
              </w:tabs>
              <w:spacing w:line="276" w:lineRule="auto"/>
              <w:jc w:val="center"/>
              <w:rPr>
                <w:color w:val="000000" w:themeColor="text1"/>
              </w:rPr>
            </w:pPr>
            <w:r w:rsidRPr="00C51CE2">
              <w:rPr>
                <w:color w:val="000000" w:themeColor="text1"/>
              </w:rPr>
              <w:t>162</w:t>
            </w:r>
          </w:p>
        </w:tc>
      </w:tr>
      <w:tr w:rsidR="004B334D" w:rsidRPr="00C51CE2" w14:paraId="2F7F2785" w14:textId="77777777" w:rsidTr="007E4CDF">
        <w:tc>
          <w:tcPr>
            <w:tcW w:w="2127" w:type="dxa"/>
          </w:tcPr>
          <w:p w14:paraId="2A5C41CF" w14:textId="77777777" w:rsidR="004B334D" w:rsidRPr="00C51CE2" w:rsidRDefault="004B334D" w:rsidP="007E4CDF">
            <w:pPr>
              <w:spacing w:line="276" w:lineRule="auto"/>
              <w:jc w:val="both"/>
              <w:rPr>
                <w:color w:val="000000" w:themeColor="text1"/>
              </w:rPr>
            </w:pPr>
            <w:r w:rsidRPr="00C51CE2">
              <w:rPr>
                <w:color w:val="000000" w:themeColor="text1"/>
              </w:rPr>
              <w:t>Grade level</w:t>
            </w:r>
          </w:p>
        </w:tc>
        <w:tc>
          <w:tcPr>
            <w:tcW w:w="1525" w:type="dxa"/>
            <w:vAlign w:val="bottom"/>
          </w:tcPr>
          <w:p w14:paraId="3055644A" w14:textId="77777777" w:rsidR="004B334D" w:rsidRPr="00C51CE2" w:rsidRDefault="004B334D" w:rsidP="007E4CDF">
            <w:pPr>
              <w:spacing w:line="276" w:lineRule="auto"/>
              <w:rPr>
                <w:color w:val="000000" w:themeColor="text1"/>
              </w:rPr>
            </w:pPr>
          </w:p>
        </w:tc>
        <w:tc>
          <w:tcPr>
            <w:tcW w:w="1418" w:type="dxa"/>
          </w:tcPr>
          <w:p w14:paraId="56F5264D" w14:textId="77777777" w:rsidR="004B334D" w:rsidRPr="00C51CE2" w:rsidRDefault="004B334D" w:rsidP="007E4CDF">
            <w:pPr>
              <w:spacing w:line="276" w:lineRule="auto"/>
              <w:jc w:val="center"/>
              <w:rPr>
                <w:color w:val="000000" w:themeColor="text1"/>
              </w:rPr>
            </w:pPr>
          </w:p>
        </w:tc>
        <w:tc>
          <w:tcPr>
            <w:tcW w:w="2409" w:type="dxa"/>
          </w:tcPr>
          <w:p w14:paraId="15CB3363" w14:textId="77777777" w:rsidR="004B334D" w:rsidRPr="00C51CE2" w:rsidRDefault="004B334D" w:rsidP="007E4CDF">
            <w:pPr>
              <w:spacing w:line="276" w:lineRule="auto"/>
              <w:jc w:val="center"/>
              <w:rPr>
                <w:color w:val="000000" w:themeColor="text1"/>
              </w:rPr>
            </w:pPr>
          </w:p>
        </w:tc>
      </w:tr>
      <w:tr w:rsidR="004B334D" w:rsidRPr="00C51CE2" w14:paraId="1EE7A8CE" w14:textId="77777777" w:rsidTr="007E4CDF">
        <w:tc>
          <w:tcPr>
            <w:tcW w:w="2127" w:type="dxa"/>
          </w:tcPr>
          <w:p w14:paraId="3C1BE8E4" w14:textId="77777777" w:rsidR="004B334D" w:rsidRPr="00C51CE2" w:rsidRDefault="004B334D" w:rsidP="007E4CDF">
            <w:pPr>
              <w:spacing w:line="276" w:lineRule="auto"/>
              <w:ind w:firstLine="426"/>
              <w:jc w:val="both"/>
              <w:rPr>
                <w:color w:val="000000" w:themeColor="text1"/>
              </w:rPr>
            </w:pPr>
            <w:r w:rsidRPr="00C51CE2">
              <w:rPr>
                <w:color w:val="000000" w:themeColor="text1"/>
              </w:rPr>
              <w:t>10</w:t>
            </w:r>
            <w:r w:rsidRPr="00C51CE2">
              <w:rPr>
                <w:color w:val="000000" w:themeColor="text1"/>
                <w:vertAlign w:val="superscript"/>
              </w:rPr>
              <w:t>th</w:t>
            </w:r>
            <w:r w:rsidRPr="00C51CE2">
              <w:rPr>
                <w:color w:val="000000" w:themeColor="text1"/>
              </w:rPr>
              <w:t xml:space="preserve"> </w:t>
            </w:r>
          </w:p>
        </w:tc>
        <w:tc>
          <w:tcPr>
            <w:tcW w:w="1525" w:type="dxa"/>
            <w:vAlign w:val="bottom"/>
          </w:tcPr>
          <w:p w14:paraId="15C248EC" w14:textId="77777777" w:rsidR="004B334D" w:rsidRPr="00C51CE2" w:rsidRDefault="004B334D" w:rsidP="007E4CDF">
            <w:pPr>
              <w:spacing w:line="276" w:lineRule="auto"/>
              <w:jc w:val="center"/>
              <w:rPr>
                <w:color w:val="000000" w:themeColor="text1"/>
              </w:rPr>
            </w:pPr>
            <w:r w:rsidRPr="00C51CE2">
              <w:rPr>
                <w:color w:val="000000" w:themeColor="text1"/>
              </w:rPr>
              <w:t>31</w:t>
            </w:r>
          </w:p>
        </w:tc>
        <w:tc>
          <w:tcPr>
            <w:tcW w:w="1418" w:type="dxa"/>
          </w:tcPr>
          <w:p w14:paraId="59745442" w14:textId="77777777" w:rsidR="004B334D" w:rsidRPr="00C51CE2" w:rsidRDefault="004B334D" w:rsidP="007E4CDF">
            <w:pPr>
              <w:spacing w:line="276" w:lineRule="auto"/>
              <w:jc w:val="center"/>
              <w:rPr>
                <w:color w:val="000000" w:themeColor="text1"/>
              </w:rPr>
            </w:pPr>
            <w:r w:rsidRPr="00C51CE2">
              <w:rPr>
                <w:color w:val="000000" w:themeColor="text1"/>
              </w:rPr>
              <w:t>39</w:t>
            </w:r>
          </w:p>
        </w:tc>
        <w:tc>
          <w:tcPr>
            <w:tcW w:w="2409" w:type="dxa"/>
          </w:tcPr>
          <w:p w14:paraId="5ED14F9A" w14:textId="77777777" w:rsidR="004B334D" w:rsidRPr="00C51CE2" w:rsidRDefault="004B334D" w:rsidP="007E4CDF">
            <w:pPr>
              <w:spacing w:line="276" w:lineRule="auto"/>
              <w:jc w:val="center"/>
              <w:rPr>
                <w:color w:val="000000" w:themeColor="text1"/>
              </w:rPr>
            </w:pPr>
            <w:r w:rsidRPr="00C51CE2">
              <w:rPr>
                <w:color w:val="000000" w:themeColor="text1"/>
              </w:rPr>
              <w:t>70</w:t>
            </w:r>
          </w:p>
        </w:tc>
      </w:tr>
      <w:tr w:rsidR="004B334D" w:rsidRPr="00C51CE2" w14:paraId="283B6214" w14:textId="77777777" w:rsidTr="007E4CDF">
        <w:tc>
          <w:tcPr>
            <w:tcW w:w="2127" w:type="dxa"/>
          </w:tcPr>
          <w:p w14:paraId="3843A2DB" w14:textId="77777777" w:rsidR="004B334D" w:rsidRPr="00C51CE2" w:rsidRDefault="004B334D" w:rsidP="007E4CDF">
            <w:pPr>
              <w:spacing w:line="276" w:lineRule="auto"/>
              <w:ind w:firstLine="426"/>
              <w:jc w:val="both"/>
              <w:rPr>
                <w:color w:val="000000" w:themeColor="text1"/>
              </w:rPr>
            </w:pPr>
            <w:r w:rsidRPr="00C51CE2">
              <w:rPr>
                <w:color w:val="000000" w:themeColor="text1"/>
              </w:rPr>
              <w:t>11</w:t>
            </w:r>
            <w:r w:rsidRPr="00C51CE2">
              <w:rPr>
                <w:color w:val="000000" w:themeColor="text1"/>
                <w:vertAlign w:val="superscript"/>
              </w:rPr>
              <w:t>th</w:t>
            </w:r>
            <w:r w:rsidRPr="00C51CE2">
              <w:rPr>
                <w:color w:val="000000" w:themeColor="text1"/>
              </w:rPr>
              <w:t xml:space="preserve"> </w:t>
            </w:r>
          </w:p>
        </w:tc>
        <w:tc>
          <w:tcPr>
            <w:tcW w:w="1525" w:type="dxa"/>
            <w:vAlign w:val="bottom"/>
          </w:tcPr>
          <w:p w14:paraId="15CB71FE" w14:textId="77777777" w:rsidR="004B334D" w:rsidRPr="00C51CE2" w:rsidRDefault="004B334D" w:rsidP="007E4CDF">
            <w:pPr>
              <w:spacing w:line="276" w:lineRule="auto"/>
              <w:jc w:val="center"/>
              <w:rPr>
                <w:color w:val="000000" w:themeColor="text1"/>
              </w:rPr>
            </w:pPr>
            <w:r w:rsidRPr="00C51CE2">
              <w:rPr>
                <w:color w:val="000000" w:themeColor="text1"/>
              </w:rPr>
              <w:t>63</w:t>
            </w:r>
          </w:p>
        </w:tc>
        <w:tc>
          <w:tcPr>
            <w:tcW w:w="1418" w:type="dxa"/>
          </w:tcPr>
          <w:p w14:paraId="38E0ED39" w14:textId="77777777" w:rsidR="004B334D" w:rsidRPr="00C51CE2" w:rsidRDefault="004B334D" w:rsidP="007E4CDF">
            <w:pPr>
              <w:spacing w:line="276" w:lineRule="auto"/>
              <w:jc w:val="center"/>
              <w:rPr>
                <w:color w:val="000000" w:themeColor="text1"/>
              </w:rPr>
            </w:pPr>
            <w:r w:rsidRPr="00C51CE2">
              <w:rPr>
                <w:color w:val="000000" w:themeColor="text1"/>
              </w:rPr>
              <w:t>45</w:t>
            </w:r>
          </w:p>
        </w:tc>
        <w:tc>
          <w:tcPr>
            <w:tcW w:w="2409" w:type="dxa"/>
          </w:tcPr>
          <w:p w14:paraId="27F97648" w14:textId="77777777" w:rsidR="004B334D" w:rsidRPr="00C51CE2" w:rsidRDefault="004B334D" w:rsidP="007E4CDF">
            <w:pPr>
              <w:spacing w:line="276" w:lineRule="auto"/>
              <w:jc w:val="center"/>
              <w:rPr>
                <w:color w:val="000000" w:themeColor="text1"/>
              </w:rPr>
            </w:pPr>
            <w:r w:rsidRPr="00C51CE2">
              <w:rPr>
                <w:color w:val="000000" w:themeColor="text1"/>
              </w:rPr>
              <w:t>108</w:t>
            </w:r>
          </w:p>
        </w:tc>
      </w:tr>
      <w:tr w:rsidR="004B334D" w:rsidRPr="00C51CE2" w14:paraId="70113BEF" w14:textId="77777777" w:rsidTr="007E4CDF">
        <w:tc>
          <w:tcPr>
            <w:tcW w:w="2127" w:type="dxa"/>
            <w:tcBorders>
              <w:bottom w:val="single" w:sz="4" w:space="0" w:color="auto"/>
            </w:tcBorders>
          </w:tcPr>
          <w:p w14:paraId="092E5C68" w14:textId="77777777" w:rsidR="004B334D" w:rsidRPr="00C51CE2" w:rsidRDefault="004B334D" w:rsidP="007E4CDF">
            <w:pPr>
              <w:spacing w:line="276" w:lineRule="auto"/>
              <w:ind w:firstLine="426"/>
              <w:jc w:val="both"/>
              <w:rPr>
                <w:color w:val="000000" w:themeColor="text1"/>
              </w:rPr>
            </w:pPr>
            <w:r w:rsidRPr="00C51CE2">
              <w:rPr>
                <w:color w:val="000000" w:themeColor="text1"/>
              </w:rPr>
              <w:t>12</w:t>
            </w:r>
            <w:r w:rsidRPr="00C51CE2">
              <w:rPr>
                <w:color w:val="000000" w:themeColor="text1"/>
                <w:vertAlign w:val="superscript"/>
              </w:rPr>
              <w:t>th</w:t>
            </w:r>
            <w:r w:rsidRPr="00C51CE2">
              <w:rPr>
                <w:color w:val="000000" w:themeColor="text1"/>
              </w:rPr>
              <w:t xml:space="preserve"> </w:t>
            </w:r>
          </w:p>
        </w:tc>
        <w:tc>
          <w:tcPr>
            <w:tcW w:w="1525" w:type="dxa"/>
            <w:tcBorders>
              <w:bottom w:val="single" w:sz="4" w:space="0" w:color="auto"/>
            </w:tcBorders>
            <w:vAlign w:val="bottom"/>
          </w:tcPr>
          <w:p w14:paraId="529BABAA" w14:textId="77777777" w:rsidR="004B334D" w:rsidRPr="00C51CE2" w:rsidRDefault="004B334D" w:rsidP="007E4CDF">
            <w:pPr>
              <w:spacing w:line="276" w:lineRule="auto"/>
              <w:jc w:val="center"/>
              <w:rPr>
                <w:color w:val="000000" w:themeColor="text1"/>
              </w:rPr>
            </w:pPr>
            <w:r w:rsidRPr="00C51CE2">
              <w:rPr>
                <w:color w:val="000000" w:themeColor="text1"/>
              </w:rPr>
              <w:t>29</w:t>
            </w:r>
          </w:p>
        </w:tc>
        <w:tc>
          <w:tcPr>
            <w:tcW w:w="1418" w:type="dxa"/>
            <w:tcBorders>
              <w:bottom w:val="single" w:sz="4" w:space="0" w:color="auto"/>
            </w:tcBorders>
          </w:tcPr>
          <w:p w14:paraId="39158734" w14:textId="77777777" w:rsidR="004B334D" w:rsidRPr="00C51CE2" w:rsidRDefault="004B334D" w:rsidP="007E4CDF">
            <w:pPr>
              <w:spacing w:line="276" w:lineRule="auto"/>
              <w:jc w:val="center"/>
              <w:rPr>
                <w:color w:val="000000" w:themeColor="text1"/>
              </w:rPr>
            </w:pPr>
            <w:r w:rsidRPr="00C51CE2">
              <w:rPr>
                <w:color w:val="000000" w:themeColor="text1"/>
              </w:rPr>
              <w:t>39</w:t>
            </w:r>
          </w:p>
        </w:tc>
        <w:tc>
          <w:tcPr>
            <w:tcW w:w="2409" w:type="dxa"/>
            <w:tcBorders>
              <w:bottom w:val="single" w:sz="4" w:space="0" w:color="auto"/>
            </w:tcBorders>
          </w:tcPr>
          <w:p w14:paraId="09F0A5B1" w14:textId="77777777" w:rsidR="004B334D" w:rsidRPr="00C51CE2" w:rsidRDefault="004B334D" w:rsidP="007E4CDF">
            <w:pPr>
              <w:spacing w:line="276" w:lineRule="auto"/>
              <w:jc w:val="center"/>
              <w:rPr>
                <w:color w:val="000000" w:themeColor="text1"/>
              </w:rPr>
            </w:pPr>
            <w:r w:rsidRPr="00C51CE2">
              <w:rPr>
                <w:color w:val="000000" w:themeColor="text1"/>
              </w:rPr>
              <w:t>68</w:t>
            </w:r>
          </w:p>
        </w:tc>
      </w:tr>
      <w:tr w:rsidR="004B334D" w:rsidRPr="00C51CE2" w14:paraId="19B89CD5" w14:textId="77777777" w:rsidTr="007E4CDF">
        <w:tc>
          <w:tcPr>
            <w:tcW w:w="2127" w:type="dxa"/>
            <w:tcBorders>
              <w:top w:val="single" w:sz="4" w:space="0" w:color="auto"/>
            </w:tcBorders>
          </w:tcPr>
          <w:p w14:paraId="60352859" w14:textId="77777777" w:rsidR="004B334D" w:rsidRPr="00C51CE2" w:rsidRDefault="004B334D" w:rsidP="007E4CDF">
            <w:pPr>
              <w:spacing w:line="276" w:lineRule="auto"/>
              <w:jc w:val="both"/>
              <w:rPr>
                <w:color w:val="000000" w:themeColor="text1"/>
              </w:rPr>
            </w:pPr>
            <w:r w:rsidRPr="00C51CE2">
              <w:rPr>
                <w:color w:val="000000" w:themeColor="text1"/>
              </w:rPr>
              <w:t>Religion</w:t>
            </w:r>
          </w:p>
        </w:tc>
        <w:tc>
          <w:tcPr>
            <w:tcW w:w="1525" w:type="dxa"/>
            <w:tcBorders>
              <w:top w:val="single" w:sz="4" w:space="0" w:color="auto"/>
            </w:tcBorders>
            <w:vAlign w:val="bottom"/>
          </w:tcPr>
          <w:p w14:paraId="7259C727" w14:textId="77777777" w:rsidR="004B334D" w:rsidRPr="00C51CE2" w:rsidRDefault="004B334D" w:rsidP="007E4CDF">
            <w:pPr>
              <w:spacing w:line="276" w:lineRule="auto"/>
              <w:rPr>
                <w:color w:val="000000" w:themeColor="text1"/>
              </w:rPr>
            </w:pPr>
          </w:p>
        </w:tc>
        <w:tc>
          <w:tcPr>
            <w:tcW w:w="1418" w:type="dxa"/>
            <w:tcBorders>
              <w:top w:val="single" w:sz="4" w:space="0" w:color="auto"/>
            </w:tcBorders>
          </w:tcPr>
          <w:p w14:paraId="793A27CA" w14:textId="77777777" w:rsidR="004B334D" w:rsidRPr="00C51CE2" w:rsidRDefault="004B334D" w:rsidP="007E4CDF">
            <w:pPr>
              <w:spacing w:line="276" w:lineRule="auto"/>
              <w:jc w:val="center"/>
              <w:rPr>
                <w:color w:val="000000" w:themeColor="text1"/>
              </w:rPr>
            </w:pPr>
          </w:p>
        </w:tc>
        <w:tc>
          <w:tcPr>
            <w:tcW w:w="2409" w:type="dxa"/>
            <w:tcBorders>
              <w:top w:val="single" w:sz="4" w:space="0" w:color="auto"/>
            </w:tcBorders>
          </w:tcPr>
          <w:p w14:paraId="47155DB4" w14:textId="77777777" w:rsidR="004B334D" w:rsidRPr="00C51CE2" w:rsidRDefault="004B334D" w:rsidP="007E4CDF">
            <w:pPr>
              <w:spacing w:line="276" w:lineRule="auto"/>
              <w:jc w:val="center"/>
              <w:rPr>
                <w:color w:val="000000" w:themeColor="text1"/>
              </w:rPr>
            </w:pPr>
          </w:p>
        </w:tc>
      </w:tr>
      <w:tr w:rsidR="004B334D" w:rsidRPr="00C51CE2" w14:paraId="2E4C02E1" w14:textId="77777777" w:rsidTr="007E4CDF">
        <w:tc>
          <w:tcPr>
            <w:tcW w:w="2127" w:type="dxa"/>
          </w:tcPr>
          <w:p w14:paraId="5A655412" w14:textId="77777777" w:rsidR="004B334D" w:rsidRPr="00C51CE2" w:rsidRDefault="004B334D" w:rsidP="007E4CDF">
            <w:pPr>
              <w:spacing w:line="276" w:lineRule="auto"/>
              <w:ind w:firstLine="426"/>
              <w:jc w:val="both"/>
              <w:rPr>
                <w:color w:val="000000" w:themeColor="text1"/>
              </w:rPr>
            </w:pPr>
            <w:r w:rsidRPr="00C51CE2">
              <w:rPr>
                <w:color w:val="000000" w:themeColor="text1"/>
              </w:rPr>
              <w:t>Islam</w:t>
            </w:r>
          </w:p>
        </w:tc>
        <w:tc>
          <w:tcPr>
            <w:tcW w:w="1525" w:type="dxa"/>
            <w:vAlign w:val="bottom"/>
          </w:tcPr>
          <w:p w14:paraId="7C571552" w14:textId="77777777" w:rsidR="004B334D" w:rsidRPr="00C51CE2" w:rsidRDefault="004B334D" w:rsidP="007E4CDF">
            <w:pPr>
              <w:spacing w:line="276" w:lineRule="auto"/>
              <w:jc w:val="center"/>
              <w:rPr>
                <w:color w:val="000000" w:themeColor="text1"/>
              </w:rPr>
            </w:pPr>
            <w:r w:rsidRPr="00C51CE2">
              <w:rPr>
                <w:color w:val="000000" w:themeColor="text1"/>
              </w:rPr>
              <w:t>123</w:t>
            </w:r>
          </w:p>
        </w:tc>
        <w:tc>
          <w:tcPr>
            <w:tcW w:w="1418" w:type="dxa"/>
          </w:tcPr>
          <w:p w14:paraId="33D9E260" w14:textId="77777777" w:rsidR="004B334D" w:rsidRPr="00C51CE2" w:rsidRDefault="004B334D" w:rsidP="007E4CDF">
            <w:pPr>
              <w:spacing w:line="276" w:lineRule="auto"/>
              <w:jc w:val="center"/>
              <w:rPr>
                <w:color w:val="000000" w:themeColor="text1"/>
              </w:rPr>
            </w:pPr>
            <w:r w:rsidRPr="00C51CE2">
              <w:rPr>
                <w:color w:val="000000" w:themeColor="text1"/>
              </w:rPr>
              <w:t>102</w:t>
            </w:r>
          </w:p>
        </w:tc>
        <w:tc>
          <w:tcPr>
            <w:tcW w:w="2409" w:type="dxa"/>
          </w:tcPr>
          <w:p w14:paraId="48CE52D1" w14:textId="77777777" w:rsidR="004B334D" w:rsidRPr="00C51CE2" w:rsidRDefault="004B334D" w:rsidP="007E4CDF">
            <w:pPr>
              <w:spacing w:line="276" w:lineRule="auto"/>
              <w:jc w:val="center"/>
              <w:rPr>
                <w:color w:val="000000" w:themeColor="text1"/>
              </w:rPr>
            </w:pPr>
            <w:r w:rsidRPr="00C51CE2">
              <w:rPr>
                <w:color w:val="000000" w:themeColor="text1"/>
              </w:rPr>
              <w:t>225</w:t>
            </w:r>
          </w:p>
        </w:tc>
      </w:tr>
      <w:tr w:rsidR="004B334D" w:rsidRPr="00C51CE2" w14:paraId="6AF0A37D" w14:textId="77777777" w:rsidTr="007E4CDF">
        <w:tc>
          <w:tcPr>
            <w:tcW w:w="2127" w:type="dxa"/>
          </w:tcPr>
          <w:p w14:paraId="35173B3E" w14:textId="77777777" w:rsidR="004B334D" w:rsidRPr="00C51CE2" w:rsidRDefault="004B334D" w:rsidP="007E4CDF">
            <w:pPr>
              <w:spacing w:line="276" w:lineRule="auto"/>
              <w:ind w:firstLine="426"/>
              <w:jc w:val="both"/>
              <w:rPr>
                <w:color w:val="000000" w:themeColor="text1"/>
              </w:rPr>
            </w:pPr>
            <w:r w:rsidRPr="00C51CE2">
              <w:rPr>
                <w:color w:val="000000" w:themeColor="text1"/>
              </w:rPr>
              <w:t>Christianity/</w:t>
            </w:r>
          </w:p>
          <w:p w14:paraId="57489AA1" w14:textId="77777777" w:rsidR="004B334D" w:rsidRPr="00C51CE2" w:rsidRDefault="004B334D" w:rsidP="007E4CDF">
            <w:pPr>
              <w:spacing w:line="276" w:lineRule="auto"/>
              <w:ind w:firstLine="426"/>
              <w:jc w:val="both"/>
              <w:rPr>
                <w:color w:val="000000" w:themeColor="text1"/>
              </w:rPr>
            </w:pPr>
            <w:r w:rsidRPr="00C51CE2">
              <w:rPr>
                <w:color w:val="000000" w:themeColor="text1"/>
              </w:rPr>
              <w:t>Catholic</w:t>
            </w:r>
          </w:p>
        </w:tc>
        <w:tc>
          <w:tcPr>
            <w:tcW w:w="1525" w:type="dxa"/>
            <w:vAlign w:val="bottom"/>
          </w:tcPr>
          <w:p w14:paraId="1760FBEA" w14:textId="77777777" w:rsidR="004B334D" w:rsidRPr="00C51CE2" w:rsidRDefault="004B334D" w:rsidP="007E4CDF">
            <w:pPr>
              <w:spacing w:line="276" w:lineRule="auto"/>
              <w:rPr>
                <w:color w:val="000000" w:themeColor="text1"/>
              </w:rPr>
            </w:pPr>
          </w:p>
        </w:tc>
        <w:tc>
          <w:tcPr>
            <w:tcW w:w="1418" w:type="dxa"/>
          </w:tcPr>
          <w:p w14:paraId="7EAD0949" w14:textId="77777777" w:rsidR="004B334D" w:rsidRPr="00C51CE2" w:rsidRDefault="004B334D" w:rsidP="007E4CDF">
            <w:pPr>
              <w:spacing w:line="276" w:lineRule="auto"/>
              <w:jc w:val="center"/>
              <w:rPr>
                <w:color w:val="000000" w:themeColor="text1"/>
              </w:rPr>
            </w:pPr>
            <w:r w:rsidRPr="00C51CE2">
              <w:rPr>
                <w:color w:val="000000" w:themeColor="text1"/>
              </w:rPr>
              <w:t>16</w:t>
            </w:r>
          </w:p>
        </w:tc>
        <w:tc>
          <w:tcPr>
            <w:tcW w:w="2409" w:type="dxa"/>
          </w:tcPr>
          <w:p w14:paraId="4F4A2816" w14:textId="77777777" w:rsidR="004B334D" w:rsidRPr="00C51CE2" w:rsidRDefault="004B334D" w:rsidP="007E4CDF">
            <w:pPr>
              <w:spacing w:line="276" w:lineRule="auto"/>
              <w:jc w:val="center"/>
              <w:rPr>
                <w:color w:val="000000" w:themeColor="text1"/>
              </w:rPr>
            </w:pPr>
            <w:r w:rsidRPr="00C51CE2">
              <w:rPr>
                <w:color w:val="000000" w:themeColor="text1"/>
              </w:rPr>
              <w:t>16</w:t>
            </w:r>
          </w:p>
        </w:tc>
      </w:tr>
      <w:tr w:rsidR="004B334D" w:rsidRPr="00C51CE2" w14:paraId="527B3E2E" w14:textId="77777777" w:rsidTr="007E4CDF">
        <w:tc>
          <w:tcPr>
            <w:tcW w:w="2127" w:type="dxa"/>
            <w:tcBorders>
              <w:bottom w:val="single" w:sz="4" w:space="0" w:color="auto"/>
            </w:tcBorders>
          </w:tcPr>
          <w:p w14:paraId="2CBCE7E6" w14:textId="77777777" w:rsidR="004B334D" w:rsidRPr="00C51CE2" w:rsidRDefault="004B334D" w:rsidP="007E4CDF">
            <w:pPr>
              <w:spacing w:line="276" w:lineRule="auto"/>
              <w:ind w:firstLine="426"/>
              <w:jc w:val="both"/>
              <w:rPr>
                <w:color w:val="000000" w:themeColor="text1"/>
              </w:rPr>
            </w:pPr>
            <w:r w:rsidRPr="00C51CE2">
              <w:rPr>
                <w:color w:val="000000" w:themeColor="text1"/>
              </w:rPr>
              <w:t>Buddhist</w:t>
            </w:r>
          </w:p>
        </w:tc>
        <w:tc>
          <w:tcPr>
            <w:tcW w:w="1525" w:type="dxa"/>
            <w:tcBorders>
              <w:bottom w:val="single" w:sz="4" w:space="0" w:color="auto"/>
            </w:tcBorders>
            <w:vAlign w:val="bottom"/>
          </w:tcPr>
          <w:p w14:paraId="66193533" w14:textId="77777777" w:rsidR="004B334D" w:rsidRPr="00C51CE2" w:rsidRDefault="004B334D" w:rsidP="007E4CDF">
            <w:pPr>
              <w:spacing w:line="276" w:lineRule="auto"/>
              <w:rPr>
                <w:color w:val="000000" w:themeColor="text1"/>
              </w:rPr>
            </w:pPr>
          </w:p>
        </w:tc>
        <w:tc>
          <w:tcPr>
            <w:tcW w:w="1418" w:type="dxa"/>
            <w:tcBorders>
              <w:bottom w:val="single" w:sz="4" w:space="0" w:color="auto"/>
            </w:tcBorders>
          </w:tcPr>
          <w:p w14:paraId="701ACCC7" w14:textId="77777777" w:rsidR="004B334D" w:rsidRPr="00C51CE2" w:rsidRDefault="004B334D" w:rsidP="007E4CDF">
            <w:pPr>
              <w:spacing w:line="276" w:lineRule="auto"/>
              <w:jc w:val="center"/>
              <w:rPr>
                <w:color w:val="000000" w:themeColor="text1"/>
              </w:rPr>
            </w:pPr>
            <w:r w:rsidRPr="00C51CE2">
              <w:rPr>
                <w:color w:val="000000" w:themeColor="text1"/>
              </w:rPr>
              <w:t>5</w:t>
            </w:r>
          </w:p>
        </w:tc>
        <w:tc>
          <w:tcPr>
            <w:tcW w:w="2409" w:type="dxa"/>
            <w:tcBorders>
              <w:bottom w:val="single" w:sz="4" w:space="0" w:color="auto"/>
            </w:tcBorders>
          </w:tcPr>
          <w:p w14:paraId="4F2ED3AC" w14:textId="77777777" w:rsidR="004B334D" w:rsidRPr="00C51CE2" w:rsidRDefault="004B334D" w:rsidP="007E4CDF">
            <w:pPr>
              <w:spacing w:line="276" w:lineRule="auto"/>
              <w:jc w:val="center"/>
              <w:rPr>
                <w:color w:val="000000" w:themeColor="text1"/>
              </w:rPr>
            </w:pPr>
            <w:r w:rsidRPr="00C51CE2">
              <w:rPr>
                <w:color w:val="000000" w:themeColor="text1"/>
              </w:rPr>
              <w:t>5</w:t>
            </w:r>
          </w:p>
        </w:tc>
      </w:tr>
    </w:tbl>
    <w:p w14:paraId="5D0D5C9A" w14:textId="77777777" w:rsidR="004B334D" w:rsidRPr="00C51CE2" w:rsidRDefault="004B334D" w:rsidP="004B334D">
      <w:pPr>
        <w:pStyle w:val="yange2"/>
        <w:numPr>
          <w:ilvl w:val="0"/>
          <w:numId w:val="0"/>
        </w:numPr>
        <w:rPr>
          <w:rFonts w:ascii="Times New Roman" w:hAnsi="Times New Roman" w:cs="Times New Roman"/>
          <w:color w:val="000000" w:themeColor="text1"/>
          <w:sz w:val="24"/>
        </w:rPr>
      </w:pPr>
    </w:p>
    <w:p w14:paraId="64A65D61" w14:textId="77777777" w:rsidR="004B334D" w:rsidRPr="00C51CE2" w:rsidRDefault="004B334D" w:rsidP="004B334D">
      <w:pPr>
        <w:pStyle w:val="yange2"/>
        <w:numPr>
          <w:ilvl w:val="0"/>
          <w:numId w:val="0"/>
        </w:numPr>
        <w:rPr>
          <w:rFonts w:asciiTheme="minorHAnsi" w:hAnsiTheme="minorHAnsi" w:cstheme="minorHAnsi"/>
          <w:b/>
          <w:color w:val="000000" w:themeColor="text1"/>
          <w:sz w:val="24"/>
        </w:rPr>
      </w:pPr>
      <w:r w:rsidRPr="00C51CE2">
        <w:rPr>
          <w:rFonts w:asciiTheme="minorHAnsi" w:hAnsiTheme="minorHAnsi" w:cstheme="minorHAnsi"/>
          <w:b/>
          <w:color w:val="000000" w:themeColor="text1"/>
          <w:sz w:val="24"/>
        </w:rPr>
        <w:t>Instrument</w:t>
      </w:r>
    </w:p>
    <w:p w14:paraId="5D593F7B" w14:textId="77777777" w:rsidR="004B334D" w:rsidRPr="00C51CE2" w:rsidRDefault="004B334D" w:rsidP="004B334D">
      <w:pPr>
        <w:pStyle w:val="HTMLPreformatted"/>
        <w:jc w:val="both"/>
        <w:rPr>
          <w:rFonts w:ascii="Times New Roman" w:hAnsi="Times New Roman" w:cs="Times New Roman"/>
          <w:color w:val="000000" w:themeColor="text1"/>
          <w:sz w:val="24"/>
          <w:szCs w:val="24"/>
        </w:rPr>
      </w:pPr>
      <w:r w:rsidRPr="00C51CE2">
        <w:rPr>
          <w:rFonts w:ascii="Times New Roman" w:hAnsi="Times New Roman" w:cs="Times New Roman"/>
          <w:color w:val="000000" w:themeColor="text1"/>
          <w:sz w:val="24"/>
          <w:szCs w:val="24"/>
        </w:rPr>
        <w:t>A MSES-</w:t>
      </w:r>
      <w:commentRangeStart w:id="16"/>
      <w:r w:rsidRPr="00C51CE2">
        <w:rPr>
          <w:rFonts w:ascii="Times New Roman" w:hAnsi="Times New Roman" w:cs="Times New Roman"/>
          <w:color w:val="000000" w:themeColor="text1"/>
          <w:sz w:val="24"/>
          <w:szCs w:val="24"/>
        </w:rPr>
        <w:t>HS</w:t>
      </w:r>
      <w:commentRangeEnd w:id="16"/>
      <w:r>
        <w:rPr>
          <w:rStyle w:val="CommentReference"/>
        </w:rPr>
        <w:commentReference w:id="16"/>
      </w:r>
      <w:r w:rsidRPr="00C51CE2">
        <w:rPr>
          <w:rFonts w:ascii="Times New Roman" w:hAnsi="Times New Roman" w:cs="Times New Roman"/>
          <w:color w:val="000000" w:themeColor="text1"/>
          <w:sz w:val="24"/>
          <w:szCs w:val="24"/>
        </w:rPr>
        <w:t xml:space="preserve"> (Multicultural Self-efficacy Scale for High School Students), written in Bahasa  and formatted in Google Form </w:t>
      </w:r>
      <w:r w:rsidRPr="00C51CE2">
        <w:rPr>
          <w:rFonts w:ascii="Times New Roman" w:hAnsi="Times New Roman" w:cs="Times New Roman"/>
          <w:color w:val="000000" w:themeColor="text1"/>
          <w:sz w:val="24"/>
          <w:szCs w:val="24"/>
        </w:rPr>
        <w:fldChar w:fldCharType="begin" w:fldLock="1"/>
      </w:r>
      <w:r w:rsidRPr="00C51CE2">
        <w:rPr>
          <w:rFonts w:ascii="Times New Roman" w:hAnsi="Times New Roman" w:cs="Times New Roman"/>
          <w:color w:val="000000" w:themeColor="text1"/>
          <w:sz w:val="24"/>
          <w:szCs w:val="24"/>
        </w:rPr>
        <w:instrText>ADDIN CSL_CITATION {"citationItems":[{"id":"ITEM-1","itemData":{"ISBN":"9786235854038","author":[{"dropping-particle":"","family":"Yosef","given":"","non-dropping-particle":"","parse-names":false,"suffix":""},{"dropping-particle":"","family":"Harlina","given":"","non-dropping-particle":"","parse-names":false,"suffix":""},{"dropping-particle":"","family":"Rahmi","given":"","non-dropping-particle":"","parse-names":false,"suffix":""},{"dropping-particle":"","family":"Muslifar","given":"Rury","non-dropping-particle":"","parse-names":false,"suffix":""}],"id":"ITEM-1","issued":{"date-parts":[["2021"]]},"number-of-pages":"49","publisher":"Bening Media Publishing","publisher-place":"Palembang","title":"Skala efikasi diri multikultur siswa SMA: Instrumen pengukuran untuk guru bimbingan dan konseling","type":"book"},"uris":["http://www.mendeley.com/documents/?uuid=c33d6004-9664-4c4c-891c-103fcd359317"]}],"mendeley":{"formattedCitation":"(Yosef et al., 2021)","plainTextFormattedCitation":"(Yosef et al., 2021)","previouslyFormattedCitation":"(Yosef et al., 2021)"},"properties":{"noteIndex":0},"schema":"https://github.com/citation-style-language/schema/raw/master/csl-citation.json"}</w:instrText>
      </w:r>
      <w:r w:rsidRPr="00C51CE2">
        <w:rPr>
          <w:rFonts w:ascii="Times New Roman" w:hAnsi="Times New Roman" w:cs="Times New Roman"/>
          <w:color w:val="000000" w:themeColor="text1"/>
          <w:sz w:val="24"/>
          <w:szCs w:val="24"/>
        </w:rPr>
        <w:fldChar w:fldCharType="separate"/>
      </w:r>
      <w:r w:rsidRPr="00C51CE2">
        <w:rPr>
          <w:rFonts w:ascii="Times New Roman" w:hAnsi="Times New Roman" w:cs="Times New Roman"/>
          <w:noProof/>
          <w:color w:val="000000" w:themeColor="text1"/>
          <w:sz w:val="24"/>
          <w:szCs w:val="24"/>
        </w:rPr>
        <w:t>(Yosef et al., 2021)</w:t>
      </w:r>
      <w:r w:rsidRPr="00C51CE2">
        <w:rPr>
          <w:rFonts w:ascii="Times New Roman" w:hAnsi="Times New Roman" w:cs="Times New Roman"/>
          <w:color w:val="000000" w:themeColor="text1"/>
          <w:sz w:val="24"/>
          <w:szCs w:val="24"/>
        </w:rPr>
        <w:fldChar w:fldCharType="end"/>
      </w:r>
      <w:r w:rsidRPr="00C51CE2">
        <w:rPr>
          <w:rFonts w:ascii="Times New Roman" w:hAnsi="Times New Roman" w:cs="Times New Roman"/>
          <w:color w:val="000000" w:themeColor="text1"/>
          <w:sz w:val="24"/>
          <w:szCs w:val="24"/>
        </w:rPr>
        <w:t>, was administrated to respondents to obtain the intended data. It had three sections, i.e., informed consent, respondent demographic information, and the items. The item section consists of the cultural insight (8 items), communication (6 items), cultural values (6 items),  cultural awareness (8 items), and flexibility (7 items). The item examples were "Recognize other cultures and their uniqueness sincerely" (cultural insight), “Avoid using words that can lead to misunderstanding” (communication), “Knowing your cultural values that are different from the values of other cultures” (cultural values), “Shows an open attitude to the advantages of other cultures” (cultural awareness), and “Enjoying cultural expressions in schools” (flexibility). Overall, 36 items asked students to rate their multicultural self-efficacy between scores of 0 to 10. 0 was "cannot do at all" and 10 “highly certain can do.” By this range, the lowest scores would be 0, and highest score would reach 360. In its development, MSES-HS has been designed and validated by a related expert and practitioner. Moreover, it was tested at ten public high schools in 7 provinces by involving 759 students in the main test phase. Validity values of its items yielded between .413 and .771, and its reliability was .931.</w:t>
      </w:r>
    </w:p>
    <w:p w14:paraId="43E54B71" w14:textId="77777777" w:rsidR="004B334D" w:rsidRPr="00C51CE2" w:rsidRDefault="004B334D" w:rsidP="004B334D">
      <w:pPr>
        <w:pStyle w:val="HTMLPreformatted"/>
        <w:jc w:val="both"/>
        <w:rPr>
          <w:rFonts w:asciiTheme="minorHAnsi" w:hAnsiTheme="minorHAnsi" w:cstheme="minorHAnsi"/>
          <w:b/>
          <w:color w:val="000000" w:themeColor="text1"/>
          <w:sz w:val="24"/>
        </w:rPr>
      </w:pPr>
    </w:p>
    <w:p w14:paraId="4E8C0E42" w14:textId="77777777" w:rsidR="004B334D" w:rsidRPr="00C51CE2" w:rsidRDefault="004B334D" w:rsidP="004B334D">
      <w:pPr>
        <w:pStyle w:val="HTMLPreformatted"/>
        <w:jc w:val="both"/>
        <w:rPr>
          <w:rFonts w:asciiTheme="minorHAnsi" w:hAnsiTheme="minorHAnsi" w:cstheme="minorHAnsi"/>
          <w:b/>
          <w:color w:val="000000" w:themeColor="text1"/>
          <w:sz w:val="24"/>
        </w:rPr>
      </w:pPr>
      <w:r w:rsidRPr="00C51CE2">
        <w:rPr>
          <w:rFonts w:asciiTheme="minorHAnsi" w:hAnsiTheme="minorHAnsi" w:cstheme="minorHAnsi"/>
          <w:b/>
          <w:color w:val="000000" w:themeColor="text1"/>
          <w:sz w:val="24"/>
        </w:rPr>
        <w:t>Procedures</w:t>
      </w:r>
    </w:p>
    <w:p w14:paraId="6E0BDC81" w14:textId="77777777" w:rsidR="004B334D" w:rsidRPr="00C51CE2" w:rsidRDefault="004B334D" w:rsidP="004B334D">
      <w:pPr>
        <w:pStyle w:val="HTMLPreformatted"/>
        <w:jc w:val="both"/>
        <w:rPr>
          <w:rFonts w:ascii="Times New Roman" w:hAnsi="Times New Roman" w:cs="Times New Roman"/>
          <w:color w:val="000000" w:themeColor="text1"/>
          <w:sz w:val="24"/>
          <w:szCs w:val="24"/>
        </w:rPr>
      </w:pPr>
      <w:r w:rsidRPr="00C51CE2">
        <w:rPr>
          <w:rFonts w:ascii="Times New Roman" w:hAnsi="Times New Roman" w:cs="Times New Roman"/>
          <w:color w:val="000000" w:themeColor="text1"/>
          <w:sz w:val="24"/>
        </w:rPr>
        <w:t xml:space="preserve">School counselors of Islamic and public high schools were contacted for involving their students as respondents in the study. After selected students were established, a link of MSES-HS was sent to school counselors and asked them to forward it to their students. Before responding the items of MSES-HS, they were required to fill out an Informed Consent stating their involvement in the study was voluntarily and continued to complete demographic information by name, grade, gender, ethnicity, and age. Administrating process of the scale was done by two weeks. </w:t>
      </w:r>
      <w:commentRangeStart w:id="17"/>
      <w:commentRangeStart w:id="18"/>
      <w:commentRangeEnd w:id="17"/>
      <w:r w:rsidRPr="00C51CE2">
        <w:rPr>
          <w:rFonts w:ascii="Times New Roman" w:hAnsi="Times New Roman" w:cs="Times New Roman"/>
          <w:color w:val="000000" w:themeColor="text1"/>
        </w:rPr>
        <w:commentReference w:id="17"/>
      </w:r>
      <w:commentRangeEnd w:id="18"/>
      <w:r>
        <w:rPr>
          <w:rStyle w:val="CommentReference"/>
        </w:rPr>
        <w:commentReference w:id="18"/>
      </w:r>
    </w:p>
    <w:p w14:paraId="58173B98" w14:textId="77777777" w:rsidR="004B334D" w:rsidRPr="00C51CE2" w:rsidRDefault="004B334D" w:rsidP="004B334D">
      <w:pPr>
        <w:pStyle w:val="yange2"/>
        <w:numPr>
          <w:ilvl w:val="0"/>
          <w:numId w:val="0"/>
        </w:numPr>
        <w:rPr>
          <w:rFonts w:ascii="Times New Roman" w:hAnsi="Times New Roman" w:cs="Times New Roman"/>
          <w:color w:val="000000" w:themeColor="text1"/>
          <w:sz w:val="24"/>
        </w:rPr>
      </w:pPr>
    </w:p>
    <w:p w14:paraId="0E562471" w14:textId="77777777" w:rsidR="004B334D" w:rsidRPr="00C51CE2" w:rsidRDefault="004B334D" w:rsidP="004B334D">
      <w:pPr>
        <w:pStyle w:val="yange2"/>
        <w:numPr>
          <w:ilvl w:val="0"/>
          <w:numId w:val="0"/>
        </w:numPr>
        <w:rPr>
          <w:rFonts w:asciiTheme="minorHAnsi" w:hAnsiTheme="minorHAnsi" w:cstheme="minorHAnsi"/>
          <w:b/>
          <w:color w:val="000000" w:themeColor="text1"/>
          <w:sz w:val="24"/>
        </w:rPr>
      </w:pPr>
      <w:r w:rsidRPr="00C51CE2">
        <w:rPr>
          <w:rFonts w:asciiTheme="minorHAnsi" w:hAnsiTheme="minorHAnsi" w:cstheme="minorHAnsi"/>
          <w:b/>
          <w:color w:val="000000" w:themeColor="text1"/>
          <w:sz w:val="24"/>
        </w:rPr>
        <w:t>Analysis</w:t>
      </w:r>
    </w:p>
    <w:p w14:paraId="19C0BDF2" w14:textId="77777777" w:rsidR="004B334D" w:rsidRPr="00C51CE2" w:rsidRDefault="004B334D" w:rsidP="004B334D">
      <w:pPr>
        <w:pStyle w:val="yange2"/>
        <w:numPr>
          <w:ilvl w:val="0"/>
          <w:numId w:val="0"/>
        </w:numPr>
        <w:rPr>
          <w:rFonts w:ascii="Times New Roman" w:hAnsi="Times New Roman" w:cs="Times New Roman"/>
          <w:color w:val="000000" w:themeColor="text1"/>
          <w:sz w:val="24"/>
        </w:rPr>
      </w:pPr>
      <w:r w:rsidRPr="00C51CE2">
        <w:rPr>
          <w:rFonts w:ascii="Times New Roman" w:hAnsi="Times New Roman" w:cs="Times New Roman"/>
          <w:color w:val="000000" w:themeColor="text1"/>
          <w:sz w:val="24"/>
        </w:rPr>
        <w:lastRenderedPageBreak/>
        <w:t xml:space="preserve">Firstly, the data were analyzed to convey all students’ multicultural self-efficacy levels by determining the mean score and standard deviation of their scores (n=246). They transferred into five-level categories (very high, high, moderate, low, and very low). Secondly, to test the hypotheses, the difference between observed mean scores </w:t>
      </w:r>
      <w:commentRangeStart w:id="19"/>
      <w:commentRangeStart w:id="20"/>
      <w:r w:rsidRPr="00C51CE2">
        <w:rPr>
          <w:rFonts w:ascii="Times New Roman" w:hAnsi="Times New Roman" w:cs="Times New Roman"/>
          <w:color w:val="000000" w:themeColor="text1"/>
          <w:sz w:val="24"/>
        </w:rPr>
        <w:t>of the efficacy among categories were compared according to school types (Islamic and public high school), including grade levels (10</w:t>
      </w:r>
      <w:r w:rsidRPr="00C51CE2">
        <w:rPr>
          <w:rFonts w:ascii="Times New Roman" w:hAnsi="Times New Roman" w:cs="Times New Roman"/>
          <w:color w:val="000000" w:themeColor="text1"/>
          <w:sz w:val="24"/>
          <w:vertAlign w:val="superscript"/>
        </w:rPr>
        <w:t>th</w:t>
      </w:r>
      <w:r w:rsidRPr="00C51CE2">
        <w:rPr>
          <w:rFonts w:ascii="Times New Roman" w:hAnsi="Times New Roman" w:cs="Times New Roman"/>
          <w:color w:val="000000" w:themeColor="text1"/>
          <w:sz w:val="24"/>
        </w:rPr>
        <w:t>, 11</w:t>
      </w:r>
      <w:r w:rsidRPr="00C51CE2">
        <w:rPr>
          <w:rFonts w:ascii="Times New Roman" w:hAnsi="Times New Roman" w:cs="Times New Roman"/>
          <w:color w:val="000000" w:themeColor="text1"/>
          <w:sz w:val="24"/>
          <w:vertAlign w:val="superscript"/>
        </w:rPr>
        <w:t>th</w:t>
      </w:r>
      <w:r w:rsidRPr="00C51CE2">
        <w:rPr>
          <w:rFonts w:ascii="Times New Roman" w:hAnsi="Times New Roman" w:cs="Times New Roman"/>
          <w:color w:val="000000" w:themeColor="text1"/>
          <w:sz w:val="24"/>
        </w:rPr>
        <w:t>, and 12</w:t>
      </w:r>
      <w:r w:rsidRPr="00C51CE2">
        <w:rPr>
          <w:rFonts w:ascii="Times New Roman" w:hAnsi="Times New Roman" w:cs="Times New Roman"/>
          <w:color w:val="000000" w:themeColor="text1"/>
          <w:sz w:val="24"/>
          <w:vertAlign w:val="superscript"/>
        </w:rPr>
        <w:t>th</w:t>
      </w:r>
      <w:r>
        <w:rPr>
          <w:rFonts w:ascii="Times New Roman" w:hAnsi="Times New Roman" w:cs="Times New Roman"/>
          <w:color w:val="000000" w:themeColor="text1"/>
          <w:sz w:val="24"/>
          <w:vertAlign w:val="superscript"/>
        </w:rPr>
        <w:t xml:space="preserve"> </w:t>
      </w:r>
      <w:r>
        <w:rPr>
          <w:rFonts w:ascii="Times New Roman" w:hAnsi="Times New Roman" w:cs="Times New Roman"/>
          <w:color w:val="000000" w:themeColor="text1"/>
          <w:sz w:val="24"/>
        </w:rPr>
        <w:t>grades</w:t>
      </w:r>
      <w:r w:rsidRPr="00C51CE2">
        <w:rPr>
          <w:rFonts w:ascii="Times New Roman" w:hAnsi="Times New Roman" w:cs="Times New Roman"/>
          <w:color w:val="000000" w:themeColor="text1"/>
          <w:sz w:val="24"/>
        </w:rPr>
        <w:t xml:space="preserve">), and gender. Independent-sample </w:t>
      </w:r>
      <w:proofErr w:type="spellStart"/>
      <w:r w:rsidRPr="00C51CE2">
        <w:rPr>
          <w:rFonts w:ascii="Times New Roman" w:hAnsi="Times New Roman" w:cs="Times New Roman"/>
          <w:color w:val="000000" w:themeColor="text1"/>
          <w:sz w:val="24"/>
        </w:rPr>
        <w:t>t</w:t>
      </w:r>
      <w:r w:rsidRPr="00C51CE2">
        <w:rPr>
          <w:rFonts w:ascii="Times New Roman" w:hAnsi="Times New Roman" w:cs="Times New Roman"/>
          <w:color w:val="000000" w:themeColor="text1"/>
          <w:sz w:val="24"/>
          <w:vertAlign w:val="subscript"/>
        </w:rPr>
        <w:t>test</w:t>
      </w:r>
      <w:proofErr w:type="spellEnd"/>
      <w:r w:rsidRPr="00C51CE2">
        <w:rPr>
          <w:rFonts w:ascii="Times New Roman" w:hAnsi="Times New Roman" w:cs="Times New Roman"/>
          <w:color w:val="000000" w:themeColor="text1"/>
          <w:sz w:val="24"/>
          <w:vertAlign w:val="subscript"/>
        </w:rPr>
        <w:t xml:space="preserve"> </w:t>
      </w:r>
      <w:r w:rsidRPr="00C51CE2">
        <w:rPr>
          <w:rFonts w:ascii="Times New Roman" w:hAnsi="Times New Roman" w:cs="Times New Roman"/>
          <w:color w:val="000000" w:themeColor="text1"/>
          <w:sz w:val="24"/>
        </w:rPr>
        <w:t>and One-Way ANOVA were utilized accordingly. All computerized-data were calculated by using SPPS version 25.</w:t>
      </w:r>
    </w:p>
    <w:commentRangeEnd w:id="19"/>
    <w:p w14:paraId="1243BDEA" w14:textId="77777777" w:rsidR="004B334D" w:rsidRPr="00C51CE2" w:rsidRDefault="004B334D" w:rsidP="004B334D">
      <w:pPr>
        <w:rPr>
          <w:b/>
          <w:color w:val="000000" w:themeColor="text1"/>
        </w:rPr>
      </w:pPr>
      <w:r w:rsidRPr="00C51CE2">
        <w:rPr>
          <w:color w:val="000000" w:themeColor="text1"/>
        </w:rPr>
        <w:commentReference w:id="19"/>
      </w:r>
      <w:commentRangeEnd w:id="20"/>
      <w:r>
        <w:rPr>
          <w:rStyle w:val="CommentReference"/>
        </w:rPr>
        <w:commentReference w:id="20"/>
      </w:r>
    </w:p>
    <w:p w14:paraId="4BD97B0C" w14:textId="77777777" w:rsidR="004B334D" w:rsidRPr="00C51CE2" w:rsidRDefault="004B334D" w:rsidP="004B334D">
      <w:pPr>
        <w:rPr>
          <w:rFonts w:cstheme="minorHAnsi"/>
          <w:b/>
          <w:color w:val="000000" w:themeColor="text1"/>
        </w:rPr>
      </w:pPr>
      <w:r w:rsidRPr="00C51CE2">
        <w:rPr>
          <w:rFonts w:cstheme="minorHAnsi"/>
          <w:b/>
          <w:color w:val="000000" w:themeColor="text1"/>
        </w:rPr>
        <w:t>RESULTS AND DISCUSSION</w:t>
      </w:r>
    </w:p>
    <w:p w14:paraId="7152484F" w14:textId="77777777" w:rsidR="004B334D" w:rsidRPr="00C51CE2" w:rsidRDefault="004B334D" w:rsidP="004B334D">
      <w:pPr>
        <w:jc w:val="both"/>
        <w:rPr>
          <w:rFonts w:cstheme="minorHAnsi"/>
          <w:b/>
          <w:color w:val="000000" w:themeColor="text1"/>
        </w:rPr>
      </w:pPr>
      <w:r w:rsidRPr="00C51CE2">
        <w:rPr>
          <w:rFonts w:cstheme="minorHAnsi"/>
          <w:b/>
          <w:color w:val="000000" w:themeColor="text1"/>
        </w:rPr>
        <w:t>Results</w:t>
      </w:r>
    </w:p>
    <w:p w14:paraId="7CACED71" w14:textId="77777777" w:rsidR="004B334D" w:rsidRPr="00C51CE2" w:rsidRDefault="004B334D" w:rsidP="004B334D">
      <w:pPr>
        <w:jc w:val="both"/>
        <w:rPr>
          <w:color w:val="000000" w:themeColor="text1"/>
        </w:rPr>
      </w:pPr>
      <w:r w:rsidRPr="00C51CE2">
        <w:rPr>
          <w:color w:val="000000" w:themeColor="text1"/>
        </w:rPr>
        <w:t>Tables 2, 3, and 4 display data on multicultural self-efficacy according to demographic data. They inform student scores in subscales and the full scale by mean and standard deviation according to types of schools. Analysis of variance calculates the differences between types of schools, grade levels, and gender.</w:t>
      </w:r>
    </w:p>
    <w:p w14:paraId="111DF3E0" w14:textId="77777777" w:rsidR="004B334D" w:rsidRPr="00C51CE2" w:rsidRDefault="004B334D" w:rsidP="004B334D">
      <w:pPr>
        <w:rPr>
          <w:color w:val="000000" w:themeColor="text1"/>
        </w:rPr>
      </w:pPr>
    </w:p>
    <w:p w14:paraId="45219A89" w14:textId="77777777" w:rsidR="004B334D" w:rsidRPr="00C51CE2" w:rsidRDefault="004B334D" w:rsidP="004B334D">
      <w:pPr>
        <w:rPr>
          <w:color w:val="000000" w:themeColor="text1"/>
        </w:rPr>
      </w:pPr>
      <w:r w:rsidRPr="00C51CE2">
        <w:rPr>
          <w:color w:val="000000" w:themeColor="text1"/>
        </w:rPr>
        <w:t xml:space="preserve">Table 2 Difference of Multicultural Self-Efficacy on Types of Schools </w:t>
      </w:r>
    </w:p>
    <w:tbl>
      <w:tblPr>
        <w:tblStyle w:val="TableGrid"/>
        <w:tblW w:w="7479" w:type="dxa"/>
        <w:tblBorders>
          <w:left w:val="none" w:sz="0" w:space="0" w:color="auto"/>
          <w:right w:val="none" w:sz="0" w:space="0" w:color="auto"/>
          <w:insideV w:val="none" w:sz="0" w:space="0" w:color="auto"/>
        </w:tblBorders>
        <w:tblLook w:val="04A0" w:firstRow="1" w:lastRow="0" w:firstColumn="1" w:lastColumn="0" w:noHBand="0" w:noVBand="1"/>
      </w:tblPr>
      <w:tblGrid>
        <w:gridCol w:w="1526"/>
        <w:gridCol w:w="1134"/>
        <w:gridCol w:w="992"/>
        <w:gridCol w:w="1276"/>
        <w:gridCol w:w="1134"/>
        <w:gridCol w:w="1417"/>
      </w:tblGrid>
      <w:tr w:rsidR="004B334D" w:rsidRPr="00C51CE2" w14:paraId="49DFEEF5" w14:textId="77777777" w:rsidTr="007E4CDF">
        <w:tc>
          <w:tcPr>
            <w:tcW w:w="1526" w:type="dxa"/>
            <w:vMerge w:val="restart"/>
            <w:shd w:val="clear" w:color="auto" w:fill="auto"/>
            <w:vAlign w:val="center"/>
          </w:tcPr>
          <w:p w14:paraId="35326285" w14:textId="77777777" w:rsidR="004B334D" w:rsidRPr="00C51CE2" w:rsidRDefault="004B334D" w:rsidP="007E4CDF">
            <w:pPr>
              <w:jc w:val="center"/>
              <w:rPr>
                <w:color w:val="000000" w:themeColor="text1"/>
              </w:rPr>
            </w:pPr>
            <w:r w:rsidRPr="00C51CE2">
              <w:rPr>
                <w:color w:val="000000" w:themeColor="text1"/>
              </w:rPr>
              <w:t>Subscales*</w:t>
            </w:r>
          </w:p>
        </w:tc>
        <w:tc>
          <w:tcPr>
            <w:tcW w:w="2126" w:type="dxa"/>
            <w:gridSpan w:val="2"/>
            <w:shd w:val="clear" w:color="auto" w:fill="auto"/>
          </w:tcPr>
          <w:p w14:paraId="68FA5F9B" w14:textId="77777777" w:rsidR="004B334D" w:rsidRPr="00C51CE2" w:rsidRDefault="004B334D" w:rsidP="007E4CDF">
            <w:pPr>
              <w:jc w:val="center"/>
              <w:rPr>
                <w:color w:val="000000" w:themeColor="text1"/>
              </w:rPr>
            </w:pPr>
            <w:r w:rsidRPr="00C51CE2">
              <w:rPr>
                <w:color w:val="000000" w:themeColor="text1"/>
              </w:rPr>
              <w:t xml:space="preserve">Islamic High School </w:t>
            </w:r>
          </w:p>
          <w:p w14:paraId="6832AE99" w14:textId="77777777" w:rsidR="004B334D" w:rsidRPr="00C51CE2" w:rsidRDefault="004B334D" w:rsidP="007E4CDF">
            <w:pPr>
              <w:jc w:val="center"/>
              <w:rPr>
                <w:color w:val="000000" w:themeColor="text1"/>
              </w:rPr>
            </w:pPr>
            <w:r w:rsidRPr="00C51CE2">
              <w:rPr>
                <w:color w:val="000000" w:themeColor="text1"/>
              </w:rPr>
              <w:t>(n=123)</w:t>
            </w:r>
          </w:p>
        </w:tc>
        <w:tc>
          <w:tcPr>
            <w:tcW w:w="2410" w:type="dxa"/>
            <w:gridSpan w:val="2"/>
            <w:shd w:val="clear" w:color="auto" w:fill="auto"/>
          </w:tcPr>
          <w:p w14:paraId="7B6115FF" w14:textId="77777777" w:rsidR="004B334D" w:rsidRPr="00C51CE2" w:rsidRDefault="004B334D" w:rsidP="007E4CDF">
            <w:pPr>
              <w:jc w:val="center"/>
              <w:rPr>
                <w:color w:val="000000" w:themeColor="text1"/>
              </w:rPr>
            </w:pPr>
            <w:r w:rsidRPr="00C51CE2">
              <w:rPr>
                <w:color w:val="000000" w:themeColor="text1"/>
              </w:rPr>
              <w:t>Public high school (n=123)</w:t>
            </w:r>
          </w:p>
        </w:tc>
        <w:tc>
          <w:tcPr>
            <w:tcW w:w="1417" w:type="dxa"/>
            <w:vMerge w:val="restart"/>
            <w:shd w:val="clear" w:color="auto" w:fill="auto"/>
            <w:vAlign w:val="center"/>
          </w:tcPr>
          <w:p w14:paraId="5695BF7C" w14:textId="77777777" w:rsidR="004B334D" w:rsidRPr="00C51CE2" w:rsidRDefault="004B334D" w:rsidP="007E4CDF">
            <w:pPr>
              <w:jc w:val="center"/>
              <w:rPr>
                <w:color w:val="000000" w:themeColor="text1"/>
              </w:rPr>
            </w:pPr>
            <w:proofErr w:type="spellStart"/>
            <w:r w:rsidRPr="00C51CE2">
              <w:rPr>
                <w:color w:val="000000" w:themeColor="text1"/>
              </w:rPr>
              <w:t>t</w:t>
            </w:r>
            <w:r w:rsidRPr="00C51CE2">
              <w:rPr>
                <w:color w:val="000000" w:themeColor="text1"/>
                <w:vertAlign w:val="subscript"/>
              </w:rPr>
              <w:t>test</w:t>
            </w:r>
            <w:proofErr w:type="spellEnd"/>
          </w:p>
        </w:tc>
      </w:tr>
      <w:tr w:rsidR="004B334D" w:rsidRPr="00C51CE2" w14:paraId="0B5947F0" w14:textId="77777777" w:rsidTr="007E4CDF">
        <w:tc>
          <w:tcPr>
            <w:tcW w:w="1526" w:type="dxa"/>
            <w:vMerge/>
            <w:shd w:val="clear" w:color="auto" w:fill="auto"/>
          </w:tcPr>
          <w:p w14:paraId="2EDF10F6" w14:textId="77777777" w:rsidR="004B334D" w:rsidRPr="00C51CE2" w:rsidRDefault="004B334D" w:rsidP="007E4CDF">
            <w:pPr>
              <w:rPr>
                <w:color w:val="000000" w:themeColor="text1"/>
              </w:rPr>
            </w:pPr>
          </w:p>
        </w:tc>
        <w:tc>
          <w:tcPr>
            <w:tcW w:w="1134" w:type="dxa"/>
            <w:shd w:val="clear" w:color="auto" w:fill="auto"/>
          </w:tcPr>
          <w:p w14:paraId="3E9A6CAF" w14:textId="77777777" w:rsidR="004B334D" w:rsidRPr="00C51CE2" w:rsidRDefault="004B334D" w:rsidP="007E4CDF">
            <w:pPr>
              <w:jc w:val="center"/>
              <w:rPr>
                <w:color w:val="000000" w:themeColor="text1"/>
              </w:rPr>
            </w:pPr>
            <w:r w:rsidRPr="00C51CE2">
              <w:rPr>
                <w:color w:val="000000" w:themeColor="text1"/>
              </w:rPr>
              <w:t>Mean</w:t>
            </w:r>
          </w:p>
        </w:tc>
        <w:tc>
          <w:tcPr>
            <w:tcW w:w="992" w:type="dxa"/>
            <w:shd w:val="clear" w:color="auto" w:fill="auto"/>
          </w:tcPr>
          <w:p w14:paraId="45483BB5" w14:textId="77777777" w:rsidR="004B334D" w:rsidRPr="00C51CE2" w:rsidRDefault="004B334D" w:rsidP="007E4CDF">
            <w:pPr>
              <w:jc w:val="center"/>
              <w:rPr>
                <w:color w:val="000000" w:themeColor="text1"/>
              </w:rPr>
            </w:pPr>
            <w:r w:rsidRPr="00C51CE2">
              <w:rPr>
                <w:color w:val="000000" w:themeColor="text1"/>
              </w:rPr>
              <w:t>SD</w:t>
            </w:r>
          </w:p>
        </w:tc>
        <w:tc>
          <w:tcPr>
            <w:tcW w:w="1276" w:type="dxa"/>
            <w:shd w:val="clear" w:color="auto" w:fill="auto"/>
          </w:tcPr>
          <w:p w14:paraId="7F276930" w14:textId="77777777" w:rsidR="004B334D" w:rsidRPr="00C51CE2" w:rsidRDefault="004B334D" w:rsidP="007E4CDF">
            <w:pPr>
              <w:jc w:val="center"/>
              <w:rPr>
                <w:color w:val="000000" w:themeColor="text1"/>
              </w:rPr>
            </w:pPr>
            <w:r w:rsidRPr="00C51CE2">
              <w:rPr>
                <w:color w:val="000000" w:themeColor="text1"/>
              </w:rPr>
              <w:t>Mean</w:t>
            </w:r>
          </w:p>
        </w:tc>
        <w:tc>
          <w:tcPr>
            <w:tcW w:w="1134" w:type="dxa"/>
            <w:shd w:val="clear" w:color="auto" w:fill="auto"/>
          </w:tcPr>
          <w:p w14:paraId="25FB5FDC" w14:textId="77777777" w:rsidR="004B334D" w:rsidRPr="00C51CE2" w:rsidRDefault="004B334D" w:rsidP="007E4CDF">
            <w:pPr>
              <w:jc w:val="center"/>
              <w:rPr>
                <w:color w:val="000000" w:themeColor="text1"/>
              </w:rPr>
            </w:pPr>
            <w:r w:rsidRPr="00C51CE2">
              <w:rPr>
                <w:color w:val="000000" w:themeColor="text1"/>
              </w:rPr>
              <w:t>SD</w:t>
            </w:r>
          </w:p>
        </w:tc>
        <w:tc>
          <w:tcPr>
            <w:tcW w:w="1417" w:type="dxa"/>
            <w:vMerge/>
            <w:shd w:val="clear" w:color="auto" w:fill="auto"/>
          </w:tcPr>
          <w:p w14:paraId="3799337E" w14:textId="77777777" w:rsidR="004B334D" w:rsidRPr="00C51CE2" w:rsidRDefault="004B334D" w:rsidP="007E4CDF">
            <w:pPr>
              <w:rPr>
                <w:color w:val="000000" w:themeColor="text1"/>
              </w:rPr>
            </w:pPr>
          </w:p>
        </w:tc>
      </w:tr>
      <w:tr w:rsidR="004B334D" w:rsidRPr="00C51CE2" w14:paraId="44093392" w14:textId="77777777" w:rsidTr="007E4CDF">
        <w:trPr>
          <w:trHeight w:val="294"/>
        </w:trPr>
        <w:tc>
          <w:tcPr>
            <w:tcW w:w="1526" w:type="dxa"/>
            <w:shd w:val="clear" w:color="auto" w:fill="auto"/>
          </w:tcPr>
          <w:p w14:paraId="7B296986" w14:textId="77777777" w:rsidR="004B334D" w:rsidRPr="00C51CE2" w:rsidRDefault="004B334D" w:rsidP="007E4CDF">
            <w:pPr>
              <w:jc w:val="center"/>
              <w:rPr>
                <w:color w:val="000000" w:themeColor="text1"/>
                <w:sz w:val="22"/>
                <w:szCs w:val="22"/>
              </w:rPr>
            </w:pPr>
            <w:r w:rsidRPr="00C51CE2">
              <w:rPr>
                <w:color w:val="000000" w:themeColor="text1"/>
                <w:sz w:val="22"/>
                <w:szCs w:val="22"/>
              </w:rPr>
              <w:t>CI</w:t>
            </w:r>
          </w:p>
        </w:tc>
        <w:tc>
          <w:tcPr>
            <w:tcW w:w="1134" w:type="dxa"/>
            <w:shd w:val="clear" w:color="auto" w:fill="auto"/>
          </w:tcPr>
          <w:p w14:paraId="7EC22160" w14:textId="77777777" w:rsidR="004B334D" w:rsidRPr="00C51CE2" w:rsidRDefault="004B334D" w:rsidP="007E4CDF">
            <w:pPr>
              <w:jc w:val="center"/>
              <w:rPr>
                <w:color w:val="000000" w:themeColor="text1"/>
              </w:rPr>
            </w:pPr>
            <w:r w:rsidRPr="00C51CE2">
              <w:rPr>
                <w:color w:val="000000" w:themeColor="text1"/>
              </w:rPr>
              <w:t>60.68</w:t>
            </w:r>
          </w:p>
        </w:tc>
        <w:tc>
          <w:tcPr>
            <w:tcW w:w="992" w:type="dxa"/>
            <w:shd w:val="clear" w:color="auto" w:fill="auto"/>
          </w:tcPr>
          <w:p w14:paraId="78876F0F" w14:textId="77777777" w:rsidR="004B334D" w:rsidRPr="00C51CE2" w:rsidRDefault="004B334D" w:rsidP="007E4CDF">
            <w:pPr>
              <w:jc w:val="center"/>
              <w:rPr>
                <w:color w:val="000000" w:themeColor="text1"/>
              </w:rPr>
            </w:pPr>
            <w:r w:rsidRPr="00C51CE2">
              <w:rPr>
                <w:color w:val="000000" w:themeColor="text1"/>
              </w:rPr>
              <w:t>13.78</w:t>
            </w:r>
          </w:p>
        </w:tc>
        <w:tc>
          <w:tcPr>
            <w:tcW w:w="1276" w:type="dxa"/>
            <w:shd w:val="clear" w:color="auto" w:fill="auto"/>
          </w:tcPr>
          <w:p w14:paraId="7EBC9725" w14:textId="77777777" w:rsidR="004B334D" w:rsidRPr="00C51CE2" w:rsidRDefault="004B334D" w:rsidP="007E4CDF">
            <w:pPr>
              <w:jc w:val="center"/>
              <w:rPr>
                <w:color w:val="000000" w:themeColor="text1"/>
              </w:rPr>
            </w:pPr>
            <w:r w:rsidRPr="00C51CE2">
              <w:rPr>
                <w:color w:val="000000" w:themeColor="text1"/>
              </w:rPr>
              <w:t>61.04</w:t>
            </w:r>
          </w:p>
        </w:tc>
        <w:tc>
          <w:tcPr>
            <w:tcW w:w="1134" w:type="dxa"/>
            <w:shd w:val="clear" w:color="auto" w:fill="auto"/>
          </w:tcPr>
          <w:p w14:paraId="23FF5AA8" w14:textId="77777777" w:rsidR="004B334D" w:rsidRPr="00C51CE2" w:rsidRDefault="004B334D" w:rsidP="007E4CDF">
            <w:pPr>
              <w:jc w:val="center"/>
              <w:rPr>
                <w:color w:val="000000" w:themeColor="text1"/>
              </w:rPr>
            </w:pPr>
            <w:r w:rsidRPr="00C51CE2">
              <w:rPr>
                <w:color w:val="000000" w:themeColor="text1"/>
              </w:rPr>
              <w:t>13.10</w:t>
            </w:r>
          </w:p>
        </w:tc>
        <w:tc>
          <w:tcPr>
            <w:tcW w:w="1417" w:type="dxa"/>
            <w:shd w:val="clear" w:color="auto" w:fill="auto"/>
          </w:tcPr>
          <w:p w14:paraId="1645AE62" w14:textId="77777777" w:rsidR="004B334D" w:rsidRPr="00C51CE2" w:rsidRDefault="004B334D" w:rsidP="007E4CDF">
            <w:pPr>
              <w:rPr>
                <w:color w:val="000000" w:themeColor="text1"/>
              </w:rPr>
            </w:pPr>
            <w:r w:rsidRPr="00C51CE2">
              <w:rPr>
                <w:color w:val="000000" w:themeColor="text1"/>
              </w:rPr>
              <w:t>t=0.186</w:t>
            </w:r>
          </w:p>
          <w:p w14:paraId="0A3FA6CB" w14:textId="77777777" w:rsidR="004B334D" w:rsidRPr="00C51CE2" w:rsidRDefault="004B334D" w:rsidP="007E4CDF">
            <w:pPr>
              <w:rPr>
                <w:color w:val="000000" w:themeColor="text1"/>
              </w:rPr>
            </w:pPr>
            <w:r w:rsidRPr="00C51CE2">
              <w:rPr>
                <w:color w:val="000000" w:themeColor="text1"/>
              </w:rPr>
              <w:t>sig=0.666</w:t>
            </w:r>
          </w:p>
          <w:p w14:paraId="46EE6E45" w14:textId="77777777" w:rsidR="004B334D" w:rsidRPr="00C51CE2" w:rsidRDefault="004B334D" w:rsidP="007E4CDF">
            <w:pPr>
              <w:rPr>
                <w:color w:val="000000" w:themeColor="text1"/>
              </w:rPr>
            </w:pPr>
            <w:r w:rsidRPr="00C51CE2">
              <w:rPr>
                <w:color w:val="000000" w:themeColor="text1"/>
              </w:rPr>
              <w:t>(p&gt;0.05)</w:t>
            </w:r>
          </w:p>
        </w:tc>
      </w:tr>
      <w:tr w:rsidR="004B334D" w:rsidRPr="00C51CE2" w14:paraId="03C2104E" w14:textId="77777777" w:rsidTr="007E4CDF">
        <w:tc>
          <w:tcPr>
            <w:tcW w:w="1526" w:type="dxa"/>
            <w:shd w:val="clear" w:color="auto" w:fill="auto"/>
          </w:tcPr>
          <w:p w14:paraId="300C2E19" w14:textId="77777777" w:rsidR="004B334D" w:rsidRPr="00C51CE2" w:rsidRDefault="004B334D" w:rsidP="007E4CDF">
            <w:pPr>
              <w:jc w:val="center"/>
              <w:rPr>
                <w:color w:val="000000" w:themeColor="text1"/>
                <w:sz w:val="22"/>
                <w:szCs w:val="22"/>
              </w:rPr>
            </w:pPr>
            <w:r w:rsidRPr="00C51CE2">
              <w:rPr>
                <w:color w:val="000000" w:themeColor="text1"/>
                <w:sz w:val="22"/>
                <w:szCs w:val="22"/>
              </w:rPr>
              <w:t>C</w:t>
            </w:r>
          </w:p>
        </w:tc>
        <w:tc>
          <w:tcPr>
            <w:tcW w:w="1134" w:type="dxa"/>
            <w:shd w:val="clear" w:color="auto" w:fill="auto"/>
          </w:tcPr>
          <w:p w14:paraId="5E51488D" w14:textId="77777777" w:rsidR="004B334D" w:rsidRPr="00C51CE2" w:rsidRDefault="004B334D" w:rsidP="007E4CDF">
            <w:pPr>
              <w:jc w:val="center"/>
              <w:rPr>
                <w:color w:val="000000" w:themeColor="text1"/>
              </w:rPr>
            </w:pPr>
            <w:r w:rsidRPr="00C51CE2">
              <w:rPr>
                <w:color w:val="000000" w:themeColor="text1"/>
              </w:rPr>
              <w:t>44.92</w:t>
            </w:r>
          </w:p>
        </w:tc>
        <w:tc>
          <w:tcPr>
            <w:tcW w:w="992" w:type="dxa"/>
            <w:shd w:val="clear" w:color="auto" w:fill="auto"/>
          </w:tcPr>
          <w:p w14:paraId="6F593065" w14:textId="77777777" w:rsidR="004B334D" w:rsidRPr="00C51CE2" w:rsidRDefault="004B334D" w:rsidP="007E4CDF">
            <w:pPr>
              <w:jc w:val="center"/>
              <w:rPr>
                <w:color w:val="000000" w:themeColor="text1"/>
              </w:rPr>
            </w:pPr>
            <w:r w:rsidRPr="00C51CE2">
              <w:rPr>
                <w:color w:val="000000" w:themeColor="text1"/>
              </w:rPr>
              <w:t>10.57</w:t>
            </w:r>
          </w:p>
        </w:tc>
        <w:tc>
          <w:tcPr>
            <w:tcW w:w="1276" w:type="dxa"/>
            <w:shd w:val="clear" w:color="auto" w:fill="auto"/>
          </w:tcPr>
          <w:p w14:paraId="4BA29777" w14:textId="77777777" w:rsidR="004B334D" w:rsidRPr="00C51CE2" w:rsidRDefault="004B334D" w:rsidP="007E4CDF">
            <w:pPr>
              <w:jc w:val="center"/>
              <w:rPr>
                <w:color w:val="000000" w:themeColor="text1"/>
              </w:rPr>
            </w:pPr>
            <w:r w:rsidRPr="00C51CE2">
              <w:rPr>
                <w:color w:val="000000" w:themeColor="text1"/>
              </w:rPr>
              <w:t>44.86</w:t>
            </w:r>
          </w:p>
        </w:tc>
        <w:tc>
          <w:tcPr>
            <w:tcW w:w="1134" w:type="dxa"/>
            <w:shd w:val="clear" w:color="auto" w:fill="auto"/>
          </w:tcPr>
          <w:p w14:paraId="379984FA" w14:textId="77777777" w:rsidR="004B334D" w:rsidRPr="00C51CE2" w:rsidRDefault="004B334D" w:rsidP="007E4CDF">
            <w:pPr>
              <w:jc w:val="center"/>
              <w:rPr>
                <w:color w:val="000000" w:themeColor="text1"/>
              </w:rPr>
            </w:pPr>
            <w:r w:rsidRPr="00C51CE2">
              <w:rPr>
                <w:color w:val="000000" w:themeColor="text1"/>
              </w:rPr>
              <w:t>10.08</w:t>
            </w:r>
          </w:p>
        </w:tc>
        <w:tc>
          <w:tcPr>
            <w:tcW w:w="1417" w:type="dxa"/>
            <w:shd w:val="clear" w:color="auto" w:fill="auto"/>
          </w:tcPr>
          <w:p w14:paraId="178F2F02" w14:textId="77777777" w:rsidR="004B334D" w:rsidRPr="00C51CE2" w:rsidRDefault="004B334D" w:rsidP="007E4CDF">
            <w:pPr>
              <w:rPr>
                <w:color w:val="000000" w:themeColor="text1"/>
              </w:rPr>
            </w:pPr>
            <w:r w:rsidRPr="00C51CE2">
              <w:rPr>
                <w:color w:val="000000" w:themeColor="text1"/>
              </w:rPr>
              <w:t>t=0.059</w:t>
            </w:r>
          </w:p>
          <w:p w14:paraId="6B0B1E70" w14:textId="77777777" w:rsidR="004B334D" w:rsidRPr="00C51CE2" w:rsidRDefault="004B334D" w:rsidP="007E4CDF">
            <w:pPr>
              <w:rPr>
                <w:color w:val="000000" w:themeColor="text1"/>
              </w:rPr>
            </w:pPr>
            <w:r w:rsidRPr="00C51CE2">
              <w:rPr>
                <w:color w:val="000000" w:themeColor="text1"/>
              </w:rPr>
              <w:t>sig=0.808</w:t>
            </w:r>
          </w:p>
          <w:p w14:paraId="249BB02A" w14:textId="77777777" w:rsidR="004B334D" w:rsidRPr="00C51CE2" w:rsidRDefault="004B334D" w:rsidP="007E4CDF">
            <w:pPr>
              <w:rPr>
                <w:color w:val="000000" w:themeColor="text1"/>
              </w:rPr>
            </w:pPr>
            <w:r w:rsidRPr="00C51CE2">
              <w:rPr>
                <w:color w:val="000000" w:themeColor="text1"/>
              </w:rPr>
              <w:t>(p&gt;0.05)</w:t>
            </w:r>
          </w:p>
        </w:tc>
      </w:tr>
      <w:tr w:rsidR="004B334D" w:rsidRPr="00C51CE2" w14:paraId="038FC55A" w14:textId="77777777" w:rsidTr="007E4CDF">
        <w:tc>
          <w:tcPr>
            <w:tcW w:w="1526" w:type="dxa"/>
            <w:shd w:val="clear" w:color="auto" w:fill="auto"/>
          </w:tcPr>
          <w:p w14:paraId="46F83A08" w14:textId="77777777" w:rsidR="004B334D" w:rsidRPr="00C51CE2" w:rsidRDefault="004B334D" w:rsidP="007E4CDF">
            <w:pPr>
              <w:jc w:val="center"/>
              <w:rPr>
                <w:color w:val="000000" w:themeColor="text1"/>
                <w:sz w:val="22"/>
                <w:szCs w:val="22"/>
              </w:rPr>
            </w:pPr>
            <w:r w:rsidRPr="00C51CE2">
              <w:rPr>
                <w:color w:val="000000" w:themeColor="text1"/>
                <w:sz w:val="22"/>
                <w:szCs w:val="22"/>
              </w:rPr>
              <w:t>CV</w:t>
            </w:r>
          </w:p>
        </w:tc>
        <w:tc>
          <w:tcPr>
            <w:tcW w:w="1134" w:type="dxa"/>
            <w:shd w:val="clear" w:color="auto" w:fill="auto"/>
          </w:tcPr>
          <w:p w14:paraId="3BD71980" w14:textId="77777777" w:rsidR="004B334D" w:rsidRPr="00C51CE2" w:rsidRDefault="004B334D" w:rsidP="007E4CDF">
            <w:pPr>
              <w:jc w:val="center"/>
              <w:rPr>
                <w:color w:val="000000" w:themeColor="text1"/>
              </w:rPr>
            </w:pPr>
            <w:r w:rsidRPr="00C51CE2">
              <w:rPr>
                <w:color w:val="000000" w:themeColor="text1"/>
              </w:rPr>
              <w:t>55.50</w:t>
            </w:r>
          </w:p>
        </w:tc>
        <w:tc>
          <w:tcPr>
            <w:tcW w:w="992" w:type="dxa"/>
            <w:shd w:val="clear" w:color="auto" w:fill="auto"/>
          </w:tcPr>
          <w:p w14:paraId="45FA201D" w14:textId="77777777" w:rsidR="004B334D" w:rsidRPr="00C51CE2" w:rsidRDefault="004B334D" w:rsidP="007E4CDF">
            <w:pPr>
              <w:jc w:val="center"/>
              <w:rPr>
                <w:color w:val="000000" w:themeColor="text1"/>
              </w:rPr>
            </w:pPr>
            <w:r w:rsidRPr="00C51CE2">
              <w:rPr>
                <w:color w:val="000000" w:themeColor="text1"/>
              </w:rPr>
              <w:t>12.55</w:t>
            </w:r>
          </w:p>
        </w:tc>
        <w:tc>
          <w:tcPr>
            <w:tcW w:w="1276" w:type="dxa"/>
            <w:shd w:val="clear" w:color="auto" w:fill="auto"/>
          </w:tcPr>
          <w:p w14:paraId="27AEBF7E" w14:textId="77777777" w:rsidR="004B334D" w:rsidRPr="00C51CE2" w:rsidRDefault="004B334D" w:rsidP="007E4CDF">
            <w:pPr>
              <w:jc w:val="center"/>
              <w:rPr>
                <w:color w:val="000000" w:themeColor="text1"/>
              </w:rPr>
            </w:pPr>
            <w:r w:rsidRPr="00C51CE2">
              <w:rPr>
                <w:color w:val="000000" w:themeColor="text1"/>
              </w:rPr>
              <w:t>55.56</w:t>
            </w:r>
          </w:p>
        </w:tc>
        <w:tc>
          <w:tcPr>
            <w:tcW w:w="1134" w:type="dxa"/>
            <w:shd w:val="clear" w:color="auto" w:fill="auto"/>
          </w:tcPr>
          <w:p w14:paraId="75F51F22" w14:textId="77777777" w:rsidR="004B334D" w:rsidRPr="00C51CE2" w:rsidRDefault="004B334D" w:rsidP="007E4CDF">
            <w:pPr>
              <w:jc w:val="center"/>
              <w:rPr>
                <w:color w:val="000000" w:themeColor="text1"/>
              </w:rPr>
            </w:pPr>
            <w:r w:rsidRPr="00C51CE2">
              <w:rPr>
                <w:color w:val="000000" w:themeColor="text1"/>
              </w:rPr>
              <w:t>11.72</w:t>
            </w:r>
          </w:p>
        </w:tc>
        <w:tc>
          <w:tcPr>
            <w:tcW w:w="1417" w:type="dxa"/>
            <w:shd w:val="clear" w:color="auto" w:fill="auto"/>
          </w:tcPr>
          <w:p w14:paraId="57B85DCD" w14:textId="77777777" w:rsidR="004B334D" w:rsidRPr="00C51CE2" w:rsidRDefault="004B334D" w:rsidP="007E4CDF">
            <w:pPr>
              <w:rPr>
                <w:color w:val="000000" w:themeColor="text1"/>
              </w:rPr>
            </w:pPr>
            <w:r w:rsidRPr="00C51CE2">
              <w:rPr>
                <w:color w:val="000000" w:themeColor="text1"/>
              </w:rPr>
              <w:t>t=0.001</w:t>
            </w:r>
          </w:p>
          <w:p w14:paraId="56F36474" w14:textId="77777777" w:rsidR="004B334D" w:rsidRPr="00C51CE2" w:rsidRDefault="004B334D" w:rsidP="007E4CDF">
            <w:pPr>
              <w:rPr>
                <w:color w:val="000000" w:themeColor="text1"/>
              </w:rPr>
            </w:pPr>
            <w:r w:rsidRPr="00C51CE2">
              <w:rPr>
                <w:color w:val="000000" w:themeColor="text1"/>
              </w:rPr>
              <w:t>sig=0.978</w:t>
            </w:r>
          </w:p>
          <w:p w14:paraId="52618DF5" w14:textId="77777777" w:rsidR="004B334D" w:rsidRPr="00C51CE2" w:rsidRDefault="004B334D" w:rsidP="007E4CDF">
            <w:pPr>
              <w:rPr>
                <w:color w:val="000000" w:themeColor="text1"/>
              </w:rPr>
            </w:pPr>
            <w:r w:rsidRPr="00C51CE2">
              <w:rPr>
                <w:color w:val="000000" w:themeColor="text1"/>
              </w:rPr>
              <w:t>(p&gt;0.05)</w:t>
            </w:r>
          </w:p>
        </w:tc>
      </w:tr>
      <w:tr w:rsidR="004B334D" w:rsidRPr="00C51CE2" w14:paraId="1093EDDD" w14:textId="77777777" w:rsidTr="007E4CDF">
        <w:trPr>
          <w:trHeight w:val="280"/>
        </w:trPr>
        <w:tc>
          <w:tcPr>
            <w:tcW w:w="1526" w:type="dxa"/>
            <w:shd w:val="clear" w:color="auto" w:fill="auto"/>
          </w:tcPr>
          <w:p w14:paraId="3D92BCE7" w14:textId="77777777" w:rsidR="004B334D" w:rsidRPr="00C51CE2" w:rsidRDefault="004B334D" w:rsidP="007E4CDF">
            <w:pPr>
              <w:jc w:val="center"/>
              <w:rPr>
                <w:color w:val="000000" w:themeColor="text1"/>
                <w:sz w:val="22"/>
                <w:szCs w:val="22"/>
              </w:rPr>
            </w:pPr>
            <w:r w:rsidRPr="00C51CE2">
              <w:rPr>
                <w:color w:val="000000" w:themeColor="text1"/>
                <w:sz w:val="22"/>
                <w:szCs w:val="22"/>
              </w:rPr>
              <w:t>CA</w:t>
            </w:r>
          </w:p>
        </w:tc>
        <w:tc>
          <w:tcPr>
            <w:tcW w:w="1134" w:type="dxa"/>
            <w:shd w:val="clear" w:color="auto" w:fill="auto"/>
          </w:tcPr>
          <w:p w14:paraId="4165AE07" w14:textId="77777777" w:rsidR="004B334D" w:rsidRPr="00C51CE2" w:rsidRDefault="004B334D" w:rsidP="007E4CDF">
            <w:pPr>
              <w:jc w:val="center"/>
              <w:rPr>
                <w:color w:val="000000" w:themeColor="text1"/>
              </w:rPr>
            </w:pPr>
            <w:r w:rsidRPr="00C51CE2">
              <w:rPr>
                <w:color w:val="000000" w:themeColor="text1"/>
              </w:rPr>
              <w:t>65.20</w:t>
            </w:r>
          </w:p>
        </w:tc>
        <w:tc>
          <w:tcPr>
            <w:tcW w:w="992" w:type="dxa"/>
            <w:shd w:val="clear" w:color="auto" w:fill="auto"/>
          </w:tcPr>
          <w:p w14:paraId="74D220A6" w14:textId="77777777" w:rsidR="004B334D" w:rsidRPr="00C51CE2" w:rsidRDefault="004B334D" w:rsidP="007E4CDF">
            <w:pPr>
              <w:jc w:val="center"/>
              <w:rPr>
                <w:color w:val="000000" w:themeColor="text1"/>
              </w:rPr>
            </w:pPr>
            <w:r w:rsidRPr="00C51CE2">
              <w:rPr>
                <w:color w:val="000000" w:themeColor="text1"/>
              </w:rPr>
              <w:t>11.99</w:t>
            </w:r>
          </w:p>
        </w:tc>
        <w:tc>
          <w:tcPr>
            <w:tcW w:w="1276" w:type="dxa"/>
            <w:shd w:val="clear" w:color="auto" w:fill="auto"/>
          </w:tcPr>
          <w:p w14:paraId="3C3B85E7" w14:textId="77777777" w:rsidR="004B334D" w:rsidRPr="00C51CE2" w:rsidRDefault="004B334D" w:rsidP="007E4CDF">
            <w:pPr>
              <w:jc w:val="center"/>
              <w:rPr>
                <w:color w:val="000000" w:themeColor="text1"/>
              </w:rPr>
            </w:pPr>
            <w:r w:rsidRPr="00C51CE2">
              <w:rPr>
                <w:color w:val="000000" w:themeColor="text1"/>
              </w:rPr>
              <w:t>55.88</w:t>
            </w:r>
          </w:p>
        </w:tc>
        <w:tc>
          <w:tcPr>
            <w:tcW w:w="1134" w:type="dxa"/>
            <w:shd w:val="clear" w:color="auto" w:fill="auto"/>
          </w:tcPr>
          <w:p w14:paraId="528CC3A9" w14:textId="77777777" w:rsidR="004B334D" w:rsidRPr="00C51CE2" w:rsidRDefault="004B334D" w:rsidP="007E4CDF">
            <w:pPr>
              <w:jc w:val="center"/>
              <w:rPr>
                <w:color w:val="000000" w:themeColor="text1"/>
              </w:rPr>
            </w:pPr>
            <w:r w:rsidRPr="00C51CE2">
              <w:rPr>
                <w:color w:val="000000" w:themeColor="text1"/>
              </w:rPr>
              <w:t>10.82</w:t>
            </w:r>
          </w:p>
        </w:tc>
        <w:tc>
          <w:tcPr>
            <w:tcW w:w="1417" w:type="dxa"/>
            <w:shd w:val="clear" w:color="auto" w:fill="auto"/>
          </w:tcPr>
          <w:p w14:paraId="7D3B14F0" w14:textId="77777777" w:rsidR="004B334D" w:rsidRPr="00C51CE2" w:rsidRDefault="004B334D" w:rsidP="007E4CDF">
            <w:pPr>
              <w:rPr>
                <w:color w:val="000000" w:themeColor="text1"/>
              </w:rPr>
            </w:pPr>
            <w:r w:rsidRPr="00C51CE2">
              <w:rPr>
                <w:color w:val="000000" w:themeColor="text1"/>
              </w:rPr>
              <w:t>t=1.009</w:t>
            </w:r>
          </w:p>
          <w:p w14:paraId="5E9F46A1" w14:textId="77777777" w:rsidR="004B334D" w:rsidRPr="00C51CE2" w:rsidRDefault="004B334D" w:rsidP="007E4CDF">
            <w:pPr>
              <w:rPr>
                <w:color w:val="000000" w:themeColor="text1"/>
              </w:rPr>
            </w:pPr>
            <w:r w:rsidRPr="00C51CE2">
              <w:rPr>
                <w:color w:val="000000" w:themeColor="text1"/>
              </w:rPr>
              <w:t>sig=0.316</w:t>
            </w:r>
          </w:p>
          <w:p w14:paraId="1F6569AE" w14:textId="77777777" w:rsidR="004B334D" w:rsidRPr="00C51CE2" w:rsidRDefault="004B334D" w:rsidP="007E4CDF">
            <w:pPr>
              <w:rPr>
                <w:color w:val="000000" w:themeColor="text1"/>
              </w:rPr>
            </w:pPr>
            <w:r w:rsidRPr="00C51CE2">
              <w:rPr>
                <w:color w:val="000000" w:themeColor="text1"/>
              </w:rPr>
              <w:t>(p&gt;0.05)</w:t>
            </w:r>
          </w:p>
        </w:tc>
      </w:tr>
      <w:tr w:rsidR="004B334D" w:rsidRPr="00C51CE2" w14:paraId="1B4BE72F" w14:textId="77777777" w:rsidTr="007E4CDF">
        <w:tc>
          <w:tcPr>
            <w:tcW w:w="1526" w:type="dxa"/>
            <w:shd w:val="clear" w:color="auto" w:fill="auto"/>
          </w:tcPr>
          <w:p w14:paraId="1618ECDD" w14:textId="77777777" w:rsidR="004B334D" w:rsidRPr="00C51CE2" w:rsidRDefault="004B334D" w:rsidP="007E4CDF">
            <w:pPr>
              <w:jc w:val="center"/>
              <w:rPr>
                <w:color w:val="000000" w:themeColor="text1"/>
                <w:sz w:val="22"/>
                <w:szCs w:val="22"/>
              </w:rPr>
            </w:pPr>
            <w:r w:rsidRPr="00C51CE2">
              <w:rPr>
                <w:color w:val="000000" w:themeColor="text1"/>
                <w:sz w:val="22"/>
                <w:szCs w:val="22"/>
              </w:rPr>
              <w:t>F</w:t>
            </w:r>
          </w:p>
        </w:tc>
        <w:tc>
          <w:tcPr>
            <w:tcW w:w="1134" w:type="dxa"/>
            <w:shd w:val="clear" w:color="auto" w:fill="auto"/>
          </w:tcPr>
          <w:p w14:paraId="554388E4" w14:textId="77777777" w:rsidR="004B334D" w:rsidRPr="00C51CE2" w:rsidRDefault="004B334D" w:rsidP="007E4CDF">
            <w:pPr>
              <w:jc w:val="center"/>
              <w:rPr>
                <w:color w:val="000000" w:themeColor="text1"/>
              </w:rPr>
            </w:pPr>
            <w:r w:rsidRPr="00C51CE2">
              <w:rPr>
                <w:color w:val="000000" w:themeColor="text1"/>
              </w:rPr>
              <w:t>57.59</w:t>
            </w:r>
          </w:p>
        </w:tc>
        <w:tc>
          <w:tcPr>
            <w:tcW w:w="992" w:type="dxa"/>
            <w:shd w:val="clear" w:color="auto" w:fill="auto"/>
          </w:tcPr>
          <w:p w14:paraId="1AE76BEC" w14:textId="77777777" w:rsidR="004B334D" w:rsidRPr="00C51CE2" w:rsidRDefault="004B334D" w:rsidP="007E4CDF">
            <w:pPr>
              <w:jc w:val="center"/>
              <w:rPr>
                <w:color w:val="000000" w:themeColor="text1"/>
              </w:rPr>
            </w:pPr>
            <w:r w:rsidRPr="00C51CE2">
              <w:rPr>
                <w:color w:val="000000" w:themeColor="text1"/>
              </w:rPr>
              <w:t>2.18</w:t>
            </w:r>
          </w:p>
        </w:tc>
        <w:tc>
          <w:tcPr>
            <w:tcW w:w="1276" w:type="dxa"/>
            <w:shd w:val="clear" w:color="auto" w:fill="auto"/>
          </w:tcPr>
          <w:p w14:paraId="3B23EF16" w14:textId="77777777" w:rsidR="004B334D" w:rsidRPr="00C51CE2" w:rsidRDefault="004B334D" w:rsidP="007E4CDF">
            <w:pPr>
              <w:jc w:val="center"/>
              <w:rPr>
                <w:color w:val="000000" w:themeColor="text1"/>
              </w:rPr>
            </w:pPr>
            <w:r w:rsidRPr="00C51CE2">
              <w:rPr>
                <w:color w:val="000000" w:themeColor="text1"/>
              </w:rPr>
              <w:t>57.68</w:t>
            </w:r>
          </w:p>
        </w:tc>
        <w:tc>
          <w:tcPr>
            <w:tcW w:w="1134" w:type="dxa"/>
            <w:shd w:val="clear" w:color="auto" w:fill="auto"/>
          </w:tcPr>
          <w:p w14:paraId="6C97FB3A" w14:textId="77777777" w:rsidR="004B334D" w:rsidRPr="00C51CE2" w:rsidRDefault="004B334D" w:rsidP="007E4CDF">
            <w:pPr>
              <w:jc w:val="center"/>
              <w:rPr>
                <w:color w:val="000000" w:themeColor="text1"/>
              </w:rPr>
            </w:pPr>
            <w:r w:rsidRPr="00C51CE2">
              <w:rPr>
                <w:color w:val="000000" w:themeColor="text1"/>
              </w:rPr>
              <w:t>11.11</w:t>
            </w:r>
          </w:p>
        </w:tc>
        <w:tc>
          <w:tcPr>
            <w:tcW w:w="1417" w:type="dxa"/>
            <w:shd w:val="clear" w:color="auto" w:fill="auto"/>
          </w:tcPr>
          <w:p w14:paraId="1D8DD0EA" w14:textId="77777777" w:rsidR="004B334D" w:rsidRPr="00C51CE2" w:rsidRDefault="004B334D" w:rsidP="007E4CDF">
            <w:pPr>
              <w:rPr>
                <w:color w:val="000000" w:themeColor="text1"/>
              </w:rPr>
            </w:pPr>
            <w:r w:rsidRPr="00C51CE2">
              <w:rPr>
                <w:color w:val="000000" w:themeColor="text1"/>
              </w:rPr>
              <w:t>t=0.115</w:t>
            </w:r>
          </w:p>
          <w:p w14:paraId="649469C3" w14:textId="77777777" w:rsidR="004B334D" w:rsidRPr="00C51CE2" w:rsidRDefault="004B334D" w:rsidP="007E4CDF">
            <w:pPr>
              <w:rPr>
                <w:color w:val="000000" w:themeColor="text1"/>
              </w:rPr>
            </w:pPr>
            <w:r w:rsidRPr="00C51CE2">
              <w:rPr>
                <w:color w:val="000000" w:themeColor="text1"/>
              </w:rPr>
              <w:t>sig=0.735</w:t>
            </w:r>
          </w:p>
          <w:p w14:paraId="2CAA45FE" w14:textId="77777777" w:rsidR="004B334D" w:rsidRPr="00C51CE2" w:rsidRDefault="004B334D" w:rsidP="007E4CDF">
            <w:pPr>
              <w:rPr>
                <w:color w:val="000000" w:themeColor="text1"/>
              </w:rPr>
            </w:pPr>
            <w:r w:rsidRPr="00C51CE2">
              <w:rPr>
                <w:color w:val="000000" w:themeColor="text1"/>
              </w:rPr>
              <w:t>(p&gt;0.05)</w:t>
            </w:r>
          </w:p>
        </w:tc>
      </w:tr>
      <w:tr w:rsidR="004B334D" w:rsidRPr="00C51CE2" w14:paraId="34426371" w14:textId="77777777" w:rsidTr="007E4CDF">
        <w:trPr>
          <w:trHeight w:val="370"/>
        </w:trPr>
        <w:tc>
          <w:tcPr>
            <w:tcW w:w="1526" w:type="dxa"/>
            <w:shd w:val="clear" w:color="auto" w:fill="auto"/>
          </w:tcPr>
          <w:p w14:paraId="49F0BB9B" w14:textId="77777777" w:rsidR="004B334D" w:rsidRPr="00C51CE2" w:rsidRDefault="004B334D" w:rsidP="007E4CDF">
            <w:pPr>
              <w:jc w:val="center"/>
              <w:rPr>
                <w:color w:val="000000" w:themeColor="text1"/>
                <w:sz w:val="22"/>
                <w:szCs w:val="22"/>
              </w:rPr>
            </w:pPr>
            <w:r w:rsidRPr="00C51CE2">
              <w:rPr>
                <w:color w:val="000000" w:themeColor="text1"/>
                <w:sz w:val="22"/>
                <w:szCs w:val="22"/>
              </w:rPr>
              <w:t>FS**</w:t>
            </w:r>
          </w:p>
        </w:tc>
        <w:tc>
          <w:tcPr>
            <w:tcW w:w="1134" w:type="dxa"/>
            <w:shd w:val="clear" w:color="auto" w:fill="auto"/>
          </w:tcPr>
          <w:p w14:paraId="335A18BA" w14:textId="77777777" w:rsidR="004B334D" w:rsidRPr="00C51CE2" w:rsidRDefault="004B334D" w:rsidP="007E4CDF">
            <w:pPr>
              <w:jc w:val="center"/>
              <w:rPr>
                <w:color w:val="000000" w:themeColor="text1"/>
              </w:rPr>
            </w:pPr>
            <w:r w:rsidRPr="00C51CE2">
              <w:rPr>
                <w:color w:val="000000" w:themeColor="text1"/>
              </w:rPr>
              <w:t>283.89</w:t>
            </w:r>
          </w:p>
        </w:tc>
        <w:tc>
          <w:tcPr>
            <w:tcW w:w="992" w:type="dxa"/>
            <w:shd w:val="clear" w:color="auto" w:fill="auto"/>
          </w:tcPr>
          <w:p w14:paraId="2273753C" w14:textId="77777777" w:rsidR="004B334D" w:rsidRPr="00C51CE2" w:rsidRDefault="004B334D" w:rsidP="007E4CDF">
            <w:pPr>
              <w:jc w:val="center"/>
              <w:rPr>
                <w:color w:val="000000" w:themeColor="text1"/>
              </w:rPr>
            </w:pPr>
            <w:r w:rsidRPr="00C51CE2">
              <w:rPr>
                <w:color w:val="000000" w:themeColor="text1"/>
              </w:rPr>
              <w:t>50.41</w:t>
            </w:r>
          </w:p>
        </w:tc>
        <w:tc>
          <w:tcPr>
            <w:tcW w:w="1276" w:type="dxa"/>
            <w:shd w:val="clear" w:color="auto" w:fill="auto"/>
          </w:tcPr>
          <w:p w14:paraId="42653439" w14:textId="77777777" w:rsidR="004B334D" w:rsidRPr="00C51CE2" w:rsidRDefault="004B334D" w:rsidP="007E4CDF">
            <w:pPr>
              <w:jc w:val="center"/>
              <w:rPr>
                <w:color w:val="000000" w:themeColor="text1"/>
              </w:rPr>
            </w:pPr>
            <w:r w:rsidRPr="00C51CE2">
              <w:rPr>
                <w:color w:val="000000" w:themeColor="text1"/>
              </w:rPr>
              <w:t>283.64</w:t>
            </w:r>
          </w:p>
        </w:tc>
        <w:tc>
          <w:tcPr>
            <w:tcW w:w="1134" w:type="dxa"/>
            <w:shd w:val="clear" w:color="auto" w:fill="auto"/>
          </w:tcPr>
          <w:p w14:paraId="3F9135BD" w14:textId="77777777" w:rsidR="004B334D" w:rsidRPr="00C51CE2" w:rsidRDefault="004B334D" w:rsidP="007E4CDF">
            <w:pPr>
              <w:jc w:val="center"/>
              <w:rPr>
                <w:color w:val="000000" w:themeColor="text1"/>
              </w:rPr>
            </w:pPr>
            <w:r w:rsidRPr="00C51CE2">
              <w:rPr>
                <w:color w:val="000000" w:themeColor="text1"/>
              </w:rPr>
              <w:t>48.354</w:t>
            </w:r>
          </w:p>
        </w:tc>
        <w:tc>
          <w:tcPr>
            <w:tcW w:w="1417" w:type="dxa"/>
            <w:shd w:val="clear" w:color="auto" w:fill="auto"/>
          </w:tcPr>
          <w:p w14:paraId="40C774FE" w14:textId="77777777" w:rsidR="004B334D" w:rsidRPr="00C51CE2" w:rsidRDefault="004B334D" w:rsidP="007E4CDF">
            <w:pPr>
              <w:rPr>
                <w:color w:val="000000" w:themeColor="text1"/>
              </w:rPr>
            </w:pPr>
            <w:r w:rsidRPr="00C51CE2">
              <w:rPr>
                <w:color w:val="000000" w:themeColor="text1"/>
              </w:rPr>
              <w:t xml:space="preserve">t=0.10 </w:t>
            </w:r>
          </w:p>
          <w:p w14:paraId="3EE00C3D" w14:textId="77777777" w:rsidR="004B334D" w:rsidRPr="00C51CE2" w:rsidRDefault="004B334D" w:rsidP="007E4CDF">
            <w:pPr>
              <w:rPr>
                <w:color w:val="000000" w:themeColor="text1"/>
              </w:rPr>
            </w:pPr>
            <w:r w:rsidRPr="00C51CE2">
              <w:rPr>
                <w:color w:val="000000" w:themeColor="text1"/>
              </w:rPr>
              <w:t>sig=.9.20 (p&gt;0.05)</w:t>
            </w:r>
          </w:p>
        </w:tc>
      </w:tr>
    </w:tbl>
    <w:p w14:paraId="71EDB360" w14:textId="77777777" w:rsidR="004B334D" w:rsidRPr="00C51CE2" w:rsidRDefault="004B334D" w:rsidP="004B334D">
      <w:pPr>
        <w:rPr>
          <w:color w:val="000000" w:themeColor="text1"/>
        </w:rPr>
      </w:pPr>
      <w:r w:rsidRPr="00C51CE2">
        <w:rPr>
          <w:color w:val="000000" w:themeColor="text1"/>
        </w:rPr>
        <w:t>Note: *CI=cultural insight, C=communication, CV=cultural value, CA=cultural awareness, and F=flexibility subscale, **FS=full scale</w:t>
      </w:r>
    </w:p>
    <w:p w14:paraId="47075519" w14:textId="77777777" w:rsidR="004B334D" w:rsidRPr="00C51CE2" w:rsidRDefault="004B334D" w:rsidP="004B334D">
      <w:pPr>
        <w:widowControl w:val="0"/>
        <w:autoSpaceDE w:val="0"/>
        <w:autoSpaceDN w:val="0"/>
        <w:adjustRightInd w:val="0"/>
        <w:jc w:val="both"/>
        <w:rPr>
          <w:color w:val="000000" w:themeColor="text1"/>
        </w:rPr>
      </w:pPr>
    </w:p>
    <w:p w14:paraId="7F587738" w14:textId="77777777" w:rsidR="004B334D" w:rsidRPr="00C51CE2" w:rsidRDefault="004B334D" w:rsidP="004B334D">
      <w:pPr>
        <w:widowControl w:val="0"/>
        <w:autoSpaceDE w:val="0"/>
        <w:autoSpaceDN w:val="0"/>
        <w:adjustRightInd w:val="0"/>
        <w:jc w:val="both"/>
        <w:rPr>
          <w:color w:val="000000" w:themeColor="text1"/>
        </w:rPr>
      </w:pPr>
      <w:r w:rsidRPr="00C51CE2">
        <w:rPr>
          <w:color w:val="000000" w:themeColor="text1"/>
        </w:rPr>
        <w:t xml:space="preserve">Data in Table 2 give some remarks. Overall, students’ scores fall between 124-360 of 0-360. On average, they are at a moderate level, as indicated by mean scores </w:t>
      </w:r>
      <w:r w:rsidRPr="00C51CE2">
        <w:rPr>
          <w:color w:val="000000" w:themeColor="text1"/>
        </w:rPr>
        <w:lastRenderedPageBreak/>
        <w:t>and standard deviation (</w:t>
      </w:r>
      <w:r w:rsidRPr="00C51CE2">
        <w:rPr>
          <w:i/>
          <w:color w:val="000000" w:themeColor="text1"/>
        </w:rPr>
        <w:t>M</w:t>
      </w:r>
      <w:r w:rsidRPr="00C51CE2">
        <w:rPr>
          <w:color w:val="000000" w:themeColor="text1"/>
        </w:rPr>
        <w:t xml:space="preserve">=283.64; </w:t>
      </w:r>
      <w:r w:rsidRPr="00C51CE2">
        <w:rPr>
          <w:i/>
          <w:color w:val="000000" w:themeColor="text1"/>
        </w:rPr>
        <w:t>SD</w:t>
      </w:r>
      <w:r w:rsidRPr="00C51CE2">
        <w:rPr>
          <w:color w:val="000000" w:themeColor="text1"/>
        </w:rPr>
        <w:t>=48.44). Applying these values for categorizing students’ scores into five groups suggests that 18 students (7.3%) at a very high level, 66 students (26.8%) at a high level, and 91 students (37%) at a moderate level. Meanwhile, 53 students (21.5%) were at a low level and 18 (7.3%) at the lowest level. In summary, 70.3% of students are in a moderate to the highest level, and the rest, 29.7%, are at low and the lowest levels. In terms of comparison based on types of schools, the mean scores of Islamic and public high schools do not differ significantly. Furthermore, based on grades, their mean scores tend to be similar. Finally, referring to gender, the mean scores of the students do not differ significantly as well.</w:t>
      </w:r>
    </w:p>
    <w:p w14:paraId="7FE2A90F" w14:textId="77777777" w:rsidR="004B334D" w:rsidRPr="00C51CE2" w:rsidRDefault="004B334D" w:rsidP="004B334D">
      <w:pPr>
        <w:widowControl w:val="0"/>
        <w:autoSpaceDE w:val="0"/>
        <w:autoSpaceDN w:val="0"/>
        <w:adjustRightInd w:val="0"/>
        <w:jc w:val="both"/>
        <w:rPr>
          <w:color w:val="000000" w:themeColor="text1"/>
        </w:rPr>
      </w:pPr>
    </w:p>
    <w:p w14:paraId="357C9F42" w14:textId="77777777" w:rsidR="004B334D" w:rsidRPr="00C51CE2" w:rsidRDefault="004B334D" w:rsidP="004B334D">
      <w:pPr>
        <w:rPr>
          <w:color w:val="000000" w:themeColor="text1"/>
        </w:rPr>
      </w:pPr>
      <w:r w:rsidRPr="00C51CE2">
        <w:rPr>
          <w:color w:val="000000" w:themeColor="text1"/>
        </w:rPr>
        <w:t xml:space="preserve">Table 3 Mean Score of Multicultural Self-Efficacy on Grade </w:t>
      </w:r>
      <w:commentRangeStart w:id="21"/>
      <w:r w:rsidRPr="00C51CE2">
        <w:rPr>
          <w:color w:val="000000" w:themeColor="text1"/>
        </w:rPr>
        <w:t>Level</w:t>
      </w:r>
      <w:commentRangeEnd w:id="21"/>
      <w:r>
        <w:rPr>
          <w:rStyle w:val="CommentReference"/>
        </w:rPr>
        <w:commentReference w:id="21"/>
      </w:r>
      <w:r w:rsidRPr="00C51CE2">
        <w:rPr>
          <w:color w:val="000000" w:themeColor="text1"/>
        </w:rPr>
        <w:t xml:space="preserve"> </w:t>
      </w:r>
    </w:p>
    <w:tbl>
      <w:tblPr>
        <w:tblW w:w="7938" w:type="dxa"/>
        <w:tblInd w:w="108" w:type="dxa"/>
        <w:tblLayout w:type="fixed"/>
        <w:tblLook w:val="04A0" w:firstRow="1" w:lastRow="0" w:firstColumn="1" w:lastColumn="0" w:noHBand="0" w:noVBand="1"/>
      </w:tblPr>
      <w:tblGrid>
        <w:gridCol w:w="1134"/>
        <w:gridCol w:w="993"/>
        <w:gridCol w:w="850"/>
        <w:gridCol w:w="992"/>
        <w:gridCol w:w="851"/>
        <w:gridCol w:w="992"/>
        <w:gridCol w:w="851"/>
        <w:gridCol w:w="1275"/>
      </w:tblGrid>
      <w:tr w:rsidR="004B334D" w:rsidRPr="00C51CE2" w14:paraId="59B4DC85" w14:textId="77777777" w:rsidTr="007E4CDF">
        <w:trPr>
          <w:trHeight w:val="360"/>
        </w:trPr>
        <w:tc>
          <w:tcPr>
            <w:tcW w:w="1134" w:type="dxa"/>
            <w:vMerge w:val="restart"/>
          </w:tcPr>
          <w:p w14:paraId="08F675BB" w14:textId="77777777" w:rsidR="004B334D" w:rsidRPr="00C51CE2" w:rsidRDefault="004B334D" w:rsidP="007E4CDF">
            <w:pPr>
              <w:jc w:val="center"/>
              <w:rPr>
                <w:color w:val="000000" w:themeColor="text1"/>
              </w:rPr>
            </w:pPr>
            <w:r w:rsidRPr="00C51CE2">
              <w:rPr>
                <w:color w:val="000000" w:themeColor="text1"/>
              </w:rPr>
              <w:t>Type of School</w:t>
            </w:r>
          </w:p>
        </w:tc>
        <w:tc>
          <w:tcPr>
            <w:tcW w:w="1843" w:type="dxa"/>
            <w:gridSpan w:val="2"/>
            <w:tcBorders>
              <w:bottom w:val="single" w:sz="4" w:space="0" w:color="auto"/>
            </w:tcBorders>
            <w:shd w:val="clear" w:color="auto" w:fill="auto"/>
            <w:vAlign w:val="center"/>
            <w:hideMark/>
          </w:tcPr>
          <w:p w14:paraId="720F36BC" w14:textId="77777777" w:rsidR="004B334D" w:rsidRPr="00C51CE2" w:rsidRDefault="004B334D" w:rsidP="007E4CDF">
            <w:pPr>
              <w:jc w:val="center"/>
              <w:rPr>
                <w:color w:val="000000" w:themeColor="text1"/>
                <w:vertAlign w:val="superscript"/>
              </w:rPr>
            </w:pPr>
            <w:r w:rsidRPr="00C51CE2">
              <w:rPr>
                <w:color w:val="000000" w:themeColor="text1"/>
              </w:rPr>
              <w:t>10</w:t>
            </w:r>
            <w:r w:rsidRPr="00C51CE2">
              <w:rPr>
                <w:color w:val="000000" w:themeColor="text1"/>
                <w:vertAlign w:val="superscript"/>
              </w:rPr>
              <w:t xml:space="preserve">th  </w:t>
            </w:r>
            <w:r w:rsidRPr="00C51CE2">
              <w:rPr>
                <w:color w:val="000000" w:themeColor="text1"/>
              </w:rPr>
              <w:t>Grade</w:t>
            </w:r>
          </w:p>
          <w:p w14:paraId="4CB3C627" w14:textId="77777777" w:rsidR="004B334D" w:rsidRPr="00C51CE2" w:rsidRDefault="004B334D" w:rsidP="007E4CDF">
            <w:pPr>
              <w:jc w:val="center"/>
              <w:rPr>
                <w:color w:val="000000" w:themeColor="text1"/>
                <w:sz w:val="20"/>
                <w:szCs w:val="20"/>
              </w:rPr>
            </w:pPr>
            <w:r w:rsidRPr="00C51CE2">
              <w:rPr>
                <w:color w:val="000000" w:themeColor="text1"/>
                <w:sz w:val="20"/>
                <w:szCs w:val="20"/>
              </w:rPr>
              <w:t>(n of IHS=31; n of PHS=39)</w:t>
            </w:r>
          </w:p>
          <w:p w14:paraId="27C5A9C0" w14:textId="77777777" w:rsidR="004B334D" w:rsidRPr="00C51CE2" w:rsidRDefault="004B334D" w:rsidP="007E4CDF">
            <w:pPr>
              <w:rPr>
                <w:color w:val="000000" w:themeColor="text1"/>
              </w:rPr>
            </w:pPr>
          </w:p>
        </w:tc>
        <w:tc>
          <w:tcPr>
            <w:tcW w:w="1843" w:type="dxa"/>
            <w:gridSpan w:val="2"/>
            <w:tcBorders>
              <w:bottom w:val="single" w:sz="4" w:space="0" w:color="auto"/>
            </w:tcBorders>
            <w:shd w:val="clear" w:color="auto" w:fill="auto"/>
            <w:vAlign w:val="center"/>
            <w:hideMark/>
          </w:tcPr>
          <w:p w14:paraId="650DED96" w14:textId="77777777" w:rsidR="004B334D" w:rsidRPr="00C51CE2" w:rsidRDefault="004B334D" w:rsidP="007E4CDF">
            <w:pPr>
              <w:jc w:val="center"/>
              <w:rPr>
                <w:color w:val="000000" w:themeColor="text1"/>
                <w:vertAlign w:val="superscript"/>
              </w:rPr>
            </w:pPr>
            <w:r w:rsidRPr="00C51CE2">
              <w:rPr>
                <w:color w:val="000000" w:themeColor="text1"/>
              </w:rPr>
              <w:t>11</w:t>
            </w:r>
            <w:r w:rsidRPr="00C51CE2">
              <w:rPr>
                <w:color w:val="000000" w:themeColor="text1"/>
                <w:vertAlign w:val="superscript"/>
              </w:rPr>
              <w:t xml:space="preserve">th </w:t>
            </w:r>
            <w:r>
              <w:rPr>
                <w:color w:val="000000" w:themeColor="text1"/>
                <w:vertAlign w:val="superscript"/>
              </w:rPr>
              <w:t xml:space="preserve"> </w:t>
            </w:r>
            <w:r w:rsidRPr="00C51CE2">
              <w:rPr>
                <w:color w:val="000000" w:themeColor="text1"/>
              </w:rPr>
              <w:t>Grade</w:t>
            </w:r>
          </w:p>
          <w:p w14:paraId="62606E3B" w14:textId="77777777" w:rsidR="004B334D" w:rsidRPr="00C51CE2" w:rsidRDefault="004B334D" w:rsidP="007E4CDF">
            <w:pPr>
              <w:jc w:val="center"/>
              <w:rPr>
                <w:color w:val="000000" w:themeColor="text1"/>
              </w:rPr>
            </w:pPr>
            <w:r w:rsidRPr="00C51CE2">
              <w:rPr>
                <w:color w:val="000000" w:themeColor="text1"/>
                <w:sz w:val="20"/>
                <w:szCs w:val="20"/>
              </w:rPr>
              <w:t>(n of IHS =63; n of PHS=45)</w:t>
            </w:r>
          </w:p>
        </w:tc>
        <w:tc>
          <w:tcPr>
            <w:tcW w:w="1843" w:type="dxa"/>
            <w:gridSpan w:val="2"/>
            <w:tcBorders>
              <w:bottom w:val="single" w:sz="4" w:space="0" w:color="auto"/>
            </w:tcBorders>
            <w:shd w:val="clear" w:color="auto" w:fill="auto"/>
            <w:vAlign w:val="center"/>
            <w:hideMark/>
          </w:tcPr>
          <w:p w14:paraId="2871A600" w14:textId="77777777" w:rsidR="004B334D" w:rsidRPr="00C51CE2" w:rsidRDefault="004B334D" w:rsidP="007E4CDF">
            <w:pPr>
              <w:jc w:val="center"/>
              <w:rPr>
                <w:color w:val="000000" w:themeColor="text1"/>
                <w:vertAlign w:val="superscript"/>
              </w:rPr>
            </w:pPr>
            <w:r w:rsidRPr="00C51CE2">
              <w:rPr>
                <w:color w:val="000000" w:themeColor="text1"/>
              </w:rPr>
              <w:t>12</w:t>
            </w:r>
            <w:r w:rsidRPr="00C51CE2">
              <w:rPr>
                <w:color w:val="000000" w:themeColor="text1"/>
                <w:vertAlign w:val="superscript"/>
              </w:rPr>
              <w:t xml:space="preserve">th </w:t>
            </w:r>
            <w:r>
              <w:rPr>
                <w:color w:val="000000" w:themeColor="text1"/>
                <w:vertAlign w:val="superscript"/>
              </w:rPr>
              <w:t xml:space="preserve"> </w:t>
            </w:r>
            <w:r w:rsidRPr="00C51CE2">
              <w:rPr>
                <w:color w:val="000000" w:themeColor="text1"/>
              </w:rPr>
              <w:t>Grade</w:t>
            </w:r>
          </w:p>
          <w:p w14:paraId="2AFA1C4D" w14:textId="77777777" w:rsidR="004B334D" w:rsidRPr="00C51CE2" w:rsidRDefault="004B334D" w:rsidP="007E4CDF">
            <w:pPr>
              <w:jc w:val="center"/>
              <w:rPr>
                <w:color w:val="000000" w:themeColor="text1"/>
                <w:sz w:val="20"/>
                <w:szCs w:val="20"/>
              </w:rPr>
            </w:pPr>
            <w:r w:rsidRPr="00C51CE2">
              <w:rPr>
                <w:color w:val="000000" w:themeColor="text1"/>
                <w:sz w:val="20"/>
                <w:szCs w:val="20"/>
              </w:rPr>
              <w:t>(n of IHS=29; n of PHS=39)</w:t>
            </w:r>
          </w:p>
        </w:tc>
        <w:tc>
          <w:tcPr>
            <w:tcW w:w="1275" w:type="dxa"/>
            <w:vMerge w:val="restart"/>
          </w:tcPr>
          <w:p w14:paraId="581C88B1" w14:textId="77777777" w:rsidR="004B334D" w:rsidRPr="00C51CE2" w:rsidRDefault="004B334D" w:rsidP="007E4CDF">
            <w:pPr>
              <w:jc w:val="center"/>
              <w:rPr>
                <w:color w:val="000000" w:themeColor="text1"/>
              </w:rPr>
            </w:pPr>
            <w:r w:rsidRPr="00C51CE2">
              <w:rPr>
                <w:color w:val="000000" w:themeColor="text1"/>
              </w:rPr>
              <w:t>F</w:t>
            </w:r>
          </w:p>
        </w:tc>
      </w:tr>
      <w:tr w:rsidR="004B334D" w:rsidRPr="00C51CE2" w14:paraId="2AEF86F0" w14:textId="77777777" w:rsidTr="007E4CDF">
        <w:trPr>
          <w:trHeight w:val="320"/>
        </w:trPr>
        <w:tc>
          <w:tcPr>
            <w:tcW w:w="1134" w:type="dxa"/>
            <w:vMerge/>
            <w:tcBorders>
              <w:bottom w:val="single" w:sz="4" w:space="0" w:color="auto"/>
            </w:tcBorders>
          </w:tcPr>
          <w:p w14:paraId="0A7CBB94" w14:textId="77777777" w:rsidR="004B334D" w:rsidRPr="00C51CE2" w:rsidRDefault="004B334D" w:rsidP="007E4CDF">
            <w:pPr>
              <w:jc w:val="center"/>
              <w:rPr>
                <w:color w:val="000000" w:themeColor="text1"/>
              </w:rPr>
            </w:pPr>
          </w:p>
        </w:tc>
        <w:tc>
          <w:tcPr>
            <w:tcW w:w="993" w:type="dxa"/>
            <w:tcBorders>
              <w:top w:val="single" w:sz="4" w:space="0" w:color="auto"/>
              <w:bottom w:val="single" w:sz="4" w:space="0" w:color="auto"/>
            </w:tcBorders>
            <w:shd w:val="clear" w:color="auto" w:fill="auto"/>
            <w:vAlign w:val="center"/>
            <w:hideMark/>
          </w:tcPr>
          <w:p w14:paraId="6E34C766" w14:textId="77777777" w:rsidR="004B334D" w:rsidRPr="00C51CE2" w:rsidRDefault="004B334D" w:rsidP="007E4CDF">
            <w:pPr>
              <w:jc w:val="center"/>
              <w:rPr>
                <w:color w:val="000000" w:themeColor="text1"/>
              </w:rPr>
            </w:pPr>
            <w:r w:rsidRPr="00C51CE2">
              <w:rPr>
                <w:color w:val="000000" w:themeColor="text1"/>
              </w:rPr>
              <w:t>Mean</w:t>
            </w:r>
          </w:p>
        </w:tc>
        <w:tc>
          <w:tcPr>
            <w:tcW w:w="850" w:type="dxa"/>
            <w:tcBorders>
              <w:top w:val="single" w:sz="4" w:space="0" w:color="auto"/>
              <w:bottom w:val="single" w:sz="4" w:space="0" w:color="auto"/>
            </w:tcBorders>
            <w:shd w:val="clear" w:color="auto" w:fill="auto"/>
            <w:vAlign w:val="center"/>
            <w:hideMark/>
          </w:tcPr>
          <w:p w14:paraId="79D27B74" w14:textId="77777777" w:rsidR="004B334D" w:rsidRPr="00C51CE2" w:rsidRDefault="004B334D" w:rsidP="007E4CDF">
            <w:pPr>
              <w:jc w:val="center"/>
              <w:rPr>
                <w:color w:val="000000" w:themeColor="text1"/>
              </w:rPr>
            </w:pPr>
            <w:r w:rsidRPr="00C51CE2">
              <w:rPr>
                <w:color w:val="000000" w:themeColor="text1"/>
              </w:rPr>
              <w:t>SD</w:t>
            </w:r>
          </w:p>
        </w:tc>
        <w:tc>
          <w:tcPr>
            <w:tcW w:w="992" w:type="dxa"/>
            <w:tcBorders>
              <w:top w:val="single" w:sz="4" w:space="0" w:color="auto"/>
              <w:bottom w:val="single" w:sz="4" w:space="0" w:color="auto"/>
            </w:tcBorders>
            <w:shd w:val="clear" w:color="auto" w:fill="auto"/>
            <w:vAlign w:val="center"/>
            <w:hideMark/>
          </w:tcPr>
          <w:p w14:paraId="1AD70475" w14:textId="77777777" w:rsidR="004B334D" w:rsidRPr="00C51CE2" w:rsidRDefault="004B334D" w:rsidP="007E4CDF">
            <w:pPr>
              <w:jc w:val="center"/>
              <w:rPr>
                <w:color w:val="000000" w:themeColor="text1"/>
              </w:rPr>
            </w:pPr>
            <w:r w:rsidRPr="00C51CE2">
              <w:rPr>
                <w:color w:val="000000" w:themeColor="text1"/>
              </w:rPr>
              <w:t>Mean</w:t>
            </w:r>
          </w:p>
        </w:tc>
        <w:tc>
          <w:tcPr>
            <w:tcW w:w="851" w:type="dxa"/>
            <w:tcBorders>
              <w:top w:val="single" w:sz="4" w:space="0" w:color="auto"/>
              <w:bottom w:val="single" w:sz="4" w:space="0" w:color="auto"/>
            </w:tcBorders>
            <w:shd w:val="clear" w:color="auto" w:fill="auto"/>
            <w:vAlign w:val="center"/>
            <w:hideMark/>
          </w:tcPr>
          <w:p w14:paraId="45D2C4F6" w14:textId="77777777" w:rsidR="004B334D" w:rsidRPr="00C51CE2" w:rsidRDefault="004B334D" w:rsidP="007E4CDF">
            <w:pPr>
              <w:jc w:val="center"/>
              <w:rPr>
                <w:color w:val="000000" w:themeColor="text1"/>
              </w:rPr>
            </w:pPr>
            <w:r w:rsidRPr="00C51CE2">
              <w:rPr>
                <w:color w:val="000000" w:themeColor="text1"/>
              </w:rPr>
              <w:t>SD</w:t>
            </w:r>
          </w:p>
        </w:tc>
        <w:tc>
          <w:tcPr>
            <w:tcW w:w="992" w:type="dxa"/>
            <w:tcBorders>
              <w:top w:val="single" w:sz="4" w:space="0" w:color="auto"/>
              <w:bottom w:val="single" w:sz="4" w:space="0" w:color="auto"/>
            </w:tcBorders>
            <w:shd w:val="clear" w:color="auto" w:fill="auto"/>
            <w:vAlign w:val="center"/>
            <w:hideMark/>
          </w:tcPr>
          <w:p w14:paraId="41DADDA5" w14:textId="77777777" w:rsidR="004B334D" w:rsidRPr="00C51CE2" w:rsidRDefault="004B334D" w:rsidP="007E4CDF">
            <w:pPr>
              <w:jc w:val="center"/>
              <w:rPr>
                <w:color w:val="000000" w:themeColor="text1"/>
              </w:rPr>
            </w:pPr>
            <w:r w:rsidRPr="00C51CE2">
              <w:rPr>
                <w:color w:val="000000" w:themeColor="text1"/>
              </w:rPr>
              <w:t>Mean</w:t>
            </w:r>
          </w:p>
        </w:tc>
        <w:tc>
          <w:tcPr>
            <w:tcW w:w="851" w:type="dxa"/>
            <w:tcBorders>
              <w:top w:val="single" w:sz="4" w:space="0" w:color="auto"/>
              <w:bottom w:val="single" w:sz="4" w:space="0" w:color="auto"/>
            </w:tcBorders>
            <w:shd w:val="clear" w:color="auto" w:fill="auto"/>
            <w:vAlign w:val="center"/>
            <w:hideMark/>
          </w:tcPr>
          <w:p w14:paraId="0475D956" w14:textId="77777777" w:rsidR="004B334D" w:rsidRPr="00C51CE2" w:rsidRDefault="004B334D" w:rsidP="007E4CDF">
            <w:pPr>
              <w:jc w:val="center"/>
              <w:rPr>
                <w:color w:val="000000" w:themeColor="text1"/>
              </w:rPr>
            </w:pPr>
            <w:r w:rsidRPr="00C51CE2">
              <w:rPr>
                <w:color w:val="000000" w:themeColor="text1"/>
              </w:rPr>
              <w:t>SD</w:t>
            </w:r>
          </w:p>
        </w:tc>
        <w:tc>
          <w:tcPr>
            <w:tcW w:w="1275" w:type="dxa"/>
            <w:vMerge/>
            <w:tcBorders>
              <w:bottom w:val="single" w:sz="4" w:space="0" w:color="auto"/>
            </w:tcBorders>
          </w:tcPr>
          <w:p w14:paraId="381F7C47" w14:textId="77777777" w:rsidR="004B334D" w:rsidRPr="00C51CE2" w:rsidRDefault="004B334D" w:rsidP="007E4CDF">
            <w:pPr>
              <w:jc w:val="center"/>
              <w:rPr>
                <w:color w:val="000000" w:themeColor="text1"/>
              </w:rPr>
            </w:pPr>
          </w:p>
        </w:tc>
      </w:tr>
      <w:tr w:rsidR="004B334D" w:rsidRPr="00C51CE2" w14:paraId="0959F7BE" w14:textId="77777777" w:rsidTr="007E4CDF">
        <w:trPr>
          <w:trHeight w:val="276"/>
        </w:trPr>
        <w:tc>
          <w:tcPr>
            <w:tcW w:w="1134" w:type="dxa"/>
            <w:tcBorders>
              <w:top w:val="single" w:sz="4" w:space="0" w:color="auto"/>
              <w:bottom w:val="single" w:sz="4" w:space="0" w:color="auto"/>
            </w:tcBorders>
          </w:tcPr>
          <w:p w14:paraId="4218622E" w14:textId="77777777" w:rsidR="004B334D" w:rsidRPr="00C51CE2" w:rsidRDefault="004B334D" w:rsidP="007E4CDF">
            <w:pPr>
              <w:jc w:val="center"/>
              <w:rPr>
                <w:color w:val="000000" w:themeColor="text1"/>
              </w:rPr>
            </w:pPr>
            <w:r w:rsidRPr="00C51CE2">
              <w:rPr>
                <w:color w:val="000000" w:themeColor="text1"/>
              </w:rPr>
              <w:t xml:space="preserve">IHS </w:t>
            </w:r>
          </w:p>
        </w:tc>
        <w:tc>
          <w:tcPr>
            <w:tcW w:w="993" w:type="dxa"/>
            <w:tcBorders>
              <w:top w:val="single" w:sz="4" w:space="0" w:color="auto"/>
              <w:bottom w:val="single" w:sz="4" w:space="0" w:color="auto"/>
            </w:tcBorders>
            <w:shd w:val="clear" w:color="auto" w:fill="auto"/>
          </w:tcPr>
          <w:p w14:paraId="3C7B5301" w14:textId="77777777" w:rsidR="004B334D" w:rsidRPr="00C51CE2" w:rsidRDefault="004B334D" w:rsidP="007E4CDF">
            <w:pPr>
              <w:jc w:val="right"/>
              <w:rPr>
                <w:color w:val="000000" w:themeColor="text1"/>
              </w:rPr>
            </w:pPr>
            <w:r w:rsidRPr="00C51CE2">
              <w:rPr>
                <w:color w:val="000000" w:themeColor="text1"/>
              </w:rPr>
              <w:t>275.61</w:t>
            </w:r>
          </w:p>
        </w:tc>
        <w:tc>
          <w:tcPr>
            <w:tcW w:w="850" w:type="dxa"/>
            <w:tcBorders>
              <w:top w:val="single" w:sz="4" w:space="0" w:color="auto"/>
              <w:bottom w:val="single" w:sz="4" w:space="0" w:color="auto"/>
            </w:tcBorders>
            <w:shd w:val="clear" w:color="auto" w:fill="auto"/>
          </w:tcPr>
          <w:p w14:paraId="622C3476" w14:textId="77777777" w:rsidR="004B334D" w:rsidRPr="00C51CE2" w:rsidRDefault="004B334D" w:rsidP="007E4CDF">
            <w:pPr>
              <w:jc w:val="right"/>
              <w:rPr>
                <w:color w:val="000000" w:themeColor="text1"/>
              </w:rPr>
            </w:pPr>
            <w:r w:rsidRPr="00C51CE2">
              <w:rPr>
                <w:color w:val="000000" w:themeColor="text1"/>
              </w:rPr>
              <w:t>61.64</w:t>
            </w:r>
          </w:p>
        </w:tc>
        <w:tc>
          <w:tcPr>
            <w:tcW w:w="992" w:type="dxa"/>
            <w:tcBorders>
              <w:top w:val="single" w:sz="4" w:space="0" w:color="auto"/>
              <w:bottom w:val="single" w:sz="4" w:space="0" w:color="auto"/>
            </w:tcBorders>
            <w:shd w:val="clear" w:color="auto" w:fill="auto"/>
          </w:tcPr>
          <w:p w14:paraId="54E590AC" w14:textId="77777777" w:rsidR="004B334D" w:rsidRPr="00C51CE2" w:rsidRDefault="004B334D" w:rsidP="007E4CDF">
            <w:pPr>
              <w:jc w:val="right"/>
              <w:rPr>
                <w:color w:val="000000" w:themeColor="text1"/>
              </w:rPr>
            </w:pPr>
            <w:r w:rsidRPr="00C51CE2">
              <w:rPr>
                <w:color w:val="000000" w:themeColor="text1"/>
              </w:rPr>
              <w:t>281</w:t>
            </w:r>
          </w:p>
        </w:tc>
        <w:tc>
          <w:tcPr>
            <w:tcW w:w="851" w:type="dxa"/>
            <w:tcBorders>
              <w:top w:val="single" w:sz="4" w:space="0" w:color="auto"/>
              <w:bottom w:val="single" w:sz="4" w:space="0" w:color="auto"/>
            </w:tcBorders>
            <w:shd w:val="clear" w:color="auto" w:fill="auto"/>
          </w:tcPr>
          <w:p w14:paraId="05EBEF5A" w14:textId="77777777" w:rsidR="004B334D" w:rsidRPr="00C51CE2" w:rsidRDefault="004B334D" w:rsidP="007E4CDF">
            <w:pPr>
              <w:jc w:val="right"/>
              <w:rPr>
                <w:color w:val="000000" w:themeColor="text1"/>
              </w:rPr>
            </w:pPr>
            <w:r w:rsidRPr="00C51CE2">
              <w:rPr>
                <w:color w:val="000000" w:themeColor="text1"/>
              </w:rPr>
              <w:t>55.70</w:t>
            </w:r>
          </w:p>
        </w:tc>
        <w:tc>
          <w:tcPr>
            <w:tcW w:w="992" w:type="dxa"/>
            <w:tcBorders>
              <w:top w:val="single" w:sz="4" w:space="0" w:color="auto"/>
              <w:bottom w:val="single" w:sz="4" w:space="0" w:color="auto"/>
            </w:tcBorders>
            <w:shd w:val="clear" w:color="auto" w:fill="auto"/>
          </w:tcPr>
          <w:p w14:paraId="474A1381" w14:textId="77777777" w:rsidR="004B334D" w:rsidRPr="00C51CE2" w:rsidRDefault="004B334D" w:rsidP="007E4CDF">
            <w:pPr>
              <w:jc w:val="right"/>
              <w:rPr>
                <w:color w:val="000000" w:themeColor="text1"/>
              </w:rPr>
            </w:pPr>
            <w:r w:rsidRPr="00C51CE2">
              <w:rPr>
                <w:color w:val="000000" w:themeColor="text1"/>
              </w:rPr>
              <w:t>292.28</w:t>
            </w:r>
          </w:p>
        </w:tc>
        <w:tc>
          <w:tcPr>
            <w:tcW w:w="851" w:type="dxa"/>
            <w:tcBorders>
              <w:top w:val="single" w:sz="4" w:space="0" w:color="auto"/>
              <w:bottom w:val="single" w:sz="4" w:space="0" w:color="auto"/>
            </w:tcBorders>
            <w:shd w:val="clear" w:color="auto" w:fill="auto"/>
          </w:tcPr>
          <w:p w14:paraId="7FDB2476" w14:textId="77777777" w:rsidR="004B334D" w:rsidRPr="00C51CE2" w:rsidRDefault="004B334D" w:rsidP="007E4CDF">
            <w:pPr>
              <w:jc w:val="right"/>
              <w:rPr>
                <w:color w:val="000000" w:themeColor="text1"/>
              </w:rPr>
            </w:pPr>
            <w:r w:rsidRPr="00C51CE2">
              <w:rPr>
                <w:color w:val="000000" w:themeColor="text1"/>
              </w:rPr>
              <w:t>45.51</w:t>
            </w:r>
          </w:p>
        </w:tc>
        <w:tc>
          <w:tcPr>
            <w:tcW w:w="1275" w:type="dxa"/>
            <w:tcBorders>
              <w:top w:val="single" w:sz="4" w:space="0" w:color="auto"/>
              <w:bottom w:val="single" w:sz="4" w:space="0" w:color="auto"/>
            </w:tcBorders>
          </w:tcPr>
          <w:p w14:paraId="1512B297" w14:textId="77777777" w:rsidR="004B334D" w:rsidRPr="00C51CE2" w:rsidRDefault="004B334D" w:rsidP="007E4CDF">
            <w:pPr>
              <w:jc w:val="center"/>
              <w:rPr>
                <w:color w:val="000000" w:themeColor="text1"/>
              </w:rPr>
            </w:pPr>
            <w:r w:rsidRPr="00C51CE2">
              <w:rPr>
                <w:color w:val="000000" w:themeColor="text1"/>
              </w:rPr>
              <w:t>F=.721; Sig.=.488</w:t>
            </w:r>
          </w:p>
        </w:tc>
      </w:tr>
      <w:tr w:rsidR="004B334D" w:rsidRPr="00C51CE2" w14:paraId="74EAB257" w14:textId="77777777" w:rsidTr="007E4CDF">
        <w:trPr>
          <w:trHeight w:val="276"/>
        </w:trPr>
        <w:tc>
          <w:tcPr>
            <w:tcW w:w="1134" w:type="dxa"/>
            <w:tcBorders>
              <w:top w:val="single" w:sz="4" w:space="0" w:color="auto"/>
              <w:bottom w:val="single" w:sz="4" w:space="0" w:color="auto"/>
            </w:tcBorders>
          </w:tcPr>
          <w:p w14:paraId="5B81DFEE" w14:textId="77777777" w:rsidR="004B334D" w:rsidRPr="00C51CE2" w:rsidRDefault="004B334D" w:rsidP="007E4CDF">
            <w:pPr>
              <w:jc w:val="center"/>
              <w:rPr>
                <w:color w:val="000000" w:themeColor="text1"/>
              </w:rPr>
            </w:pPr>
            <w:r w:rsidRPr="00C51CE2">
              <w:rPr>
                <w:color w:val="000000" w:themeColor="text1"/>
              </w:rPr>
              <w:t xml:space="preserve">PHS </w:t>
            </w:r>
          </w:p>
        </w:tc>
        <w:tc>
          <w:tcPr>
            <w:tcW w:w="993" w:type="dxa"/>
            <w:tcBorders>
              <w:top w:val="single" w:sz="4" w:space="0" w:color="auto"/>
              <w:bottom w:val="single" w:sz="4" w:space="0" w:color="auto"/>
            </w:tcBorders>
            <w:shd w:val="clear" w:color="auto" w:fill="auto"/>
            <w:hideMark/>
          </w:tcPr>
          <w:p w14:paraId="2078983C" w14:textId="77777777" w:rsidR="004B334D" w:rsidRPr="00C51CE2" w:rsidRDefault="004B334D" w:rsidP="007E4CDF">
            <w:pPr>
              <w:jc w:val="right"/>
              <w:rPr>
                <w:color w:val="000000" w:themeColor="text1"/>
              </w:rPr>
            </w:pPr>
            <w:r w:rsidRPr="00C51CE2">
              <w:rPr>
                <w:color w:val="000000" w:themeColor="text1"/>
              </w:rPr>
              <w:t>288.94</w:t>
            </w:r>
          </w:p>
        </w:tc>
        <w:tc>
          <w:tcPr>
            <w:tcW w:w="850" w:type="dxa"/>
            <w:tcBorders>
              <w:top w:val="single" w:sz="4" w:space="0" w:color="auto"/>
              <w:bottom w:val="single" w:sz="4" w:space="0" w:color="auto"/>
            </w:tcBorders>
            <w:shd w:val="clear" w:color="auto" w:fill="auto"/>
            <w:hideMark/>
          </w:tcPr>
          <w:p w14:paraId="4D75096B" w14:textId="77777777" w:rsidR="004B334D" w:rsidRPr="00C51CE2" w:rsidRDefault="004B334D" w:rsidP="007E4CDF">
            <w:pPr>
              <w:jc w:val="right"/>
              <w:rPr>
                <w:color w:val="000000" w:themeColor="text1"/>
              </w:rPr>
            </w:pPr>
            <w:r w:rsidRPr="00C51CE2">
              <w:rPr>
                <w:color w:val="000000" w:themeColor="text1"/>
              </w:rPr>
              <w:t>42.51</w:t>
            </w:r>
          </w:p>
        </w:tc>
        <w:tc>
          <w:tcPr>
            <w:tcW w:w="992" w:type="dxa"/>
            <w:tcBorders>
              <w:top w:val="single" w:sz="4" w:space="0" w:color="auto"/>
              <w:bottom w:val="single" w:sz="4" w:space="0" w:color="auto"/>
            </w:tcBorders>
            <w:shd w:val="clear" w:color="auto" w:fill="auto"/>
            <w:hideMark/>
          </w:tcPr>
          <w:p w14:paraId="1DF71CA0" w14:textId="77777777" w:rsidR="004B334D" w:rsidRPr="00C51CE2" w:rsidRDefault="004B334D" w:rsidP="007E4CDF">
            <w:pPr>
              <w:jc w:val="right"/>
              <w:rPr>
                <w:color w:val="000000" w:themeColor="text1"/>
              </w:rPr>
            </w:pPr>
            <w:r w:rsidRPr="00C51CE2">
              <w:rPr>
                <w:color w:val="000000" w:themeColor="text1"/>
              </w:rPr>
              <w:t>273.96</w:t>
            </w:r>
          </w:p>
        </w:tc>
        <w:tc>
          <w:tcPr>
            <w:tcW w:w="851" w:type="dxa"/>
            <w:tcBorders>
              <w:top w:val="single" w:sz="4" w:space="0" w:color="auto"/>
              <w:bottom w:val="single" w:sz="4" w:space="0" w:color="auto"/>
            </w:tcBorders>
            <w:shd w:val="clear" w:color="auto" w:fill="auto"/>
            <w:hideMark/>
          </w:tcPr>
          <w:p w14:paraId="2C11D5EE" w14:textId="77777777" w:rsidR="004B334D" w:rsidRPr="00C51CE2" w:rsidRDefault="004B334D" w:rsidP="007E4CDF">
            <w:pPr>
              <w:jc w:val="right"/>
              <w:rPr>
                <w:color w:val="000000" w:themeColor="text1"/>
              </w:rPr>
            </w:pPr>
            <w:r w:rsidRPr="00C51CE2">
              <w:rPr>
                <w:color w:val="000000" w:themeColor="text1"/>
              </w:rPr>
              <w:t>44.05</w:t>
            </w:r>
          </w:p>
        </w:tc>
        <w:tc>
          <w:tcPr>
            <w:tcW w:w="992" w:type="dxa"/>
            <w:tcBorders>
              <w:top w:val="single" w:sz="4" w:space="0" w:color="auto"/>
              <w:bottom w:val="single" w:sz="4" w:space="0" w:color="auto"/>
            </w:tcBorders>
            <w:shd w:val="clear" w:color="auto" w:fill="auto"/>
            <w:hideMark/>
          </w:tcPr>
          <w:p w14:paraId="4348E0F4" w14:textId="77777777" w:rsidR="004B334D" w:rsidRPr="00C51CE2" w:rsidRDefault="004B334D" w:rsidP="007E4CDF">
            <w:pPr>
              <w:jc w:val="right"/>
              <w:rPr>
                <w:color w:val="000000" w:themeColor="text1"/>
              </w:rPr>
            </w:pPr>
            <w:r w:rsidRPr="00C51CE2">
              <w:rPr>
                <w:color w:val="000000" w:themeColor="text1"/>
              </w:rPr>
              <w:t>288.33</w:t>
            </w:r>
          </w:p>
        </w:tc>
        <w:tc>
          <w:tcPr>
            <w:tcW w:w="851" w:type="dxa"/>
            <w:tcBorders>
              <w:top w:val="single" w:sz="4" w:space="0" w:color="auto"/>
              <w:bottom w:val="single" w:sz="4" w:space="0" w:color="auto"/>
            </w:tcBorders>
            <w:shd w:val="clear" w:color="auto" w:fill="auto"/>
            <w:hideMark/>
          </w:tcPr>
          <w:p w14:paraId="5DEAD425" w14:textId="77777777" w:rsidR="004B334D" w:rsidRPr="00C51CE2" w:rsidRDefault="004B334D" w:rsidP="007E4CDF">
            <w:pPr>
              <w:jc w:val="right"/>
              <w:rPr>
                <w:color w:val="000000" w:themeColor="text1"/>
              </w:rPr>
            </w:pPr>
            <w:r w:rsidRPr="00C51CE2">
              <w:rPr>
                <w:color w:val="000000" w:themeColor="text1"/>
              </w:rPr>
              <w:t>46.28</w:t>
            </w:r>
          </w:p>
        </w:tc>
        <w:tc>
          <w:tcPr>
            <w:tcW w:w="1275" w:type="dxa"/>
            <w:tcBorders>
              <w:top w:val="single" w:sz="4" w:space="0" w:color="auto"/>
              <w:bottom w:val="single" w:sz="4" w:space="0" w:color="auto"/>
            </w:tcBorders>
          </w:tcPr>
          <w:p w14:paraId="14D971AD" w14:textId="77777777" w:rsidR="004B334D" w:rsidRPr="00C51CE2" w:rsidRDefault="004B334D" w:rsidP="007E4CDF">
            <w:pPr>
              <w:jc w:val="right"/>
              <w:rPr>
                <w:color w:val="000000" w:themeColor="text1"/>
              </w:rPr>
            </w:pPr>
            <w:r w:rsidRPr="00C51CE2">
              <w:rPr>
                <w:color w:val="000000" w:themeColor="text1"/>
              </w:rPr>
              <w:t>F=1.431; Sig.=.243</w:t>
            </w:r>
          </w:p>
        </w:tc>
      </w:tr>
      <w:tr w:rsidR="004B334D" w:rsidRPr="00C51CE2" w14:paraId="454E5E56" w14:textId="77777777" w:rsidTr="007E4CDF">
        <w:trPr>
          <w:trHeight w:val="276"/>
        </w:trPr>
        <w:tc>
          <w:tcPr>
            <w:tcW w:w="1134" w:type="dxa"/>
            <w:tcBorders>
              <w:top w:val="single" w:sz="4" w:space="0" w:color="auto"/>
              <w:bottom w:val="single" w:sz="4" w:space="0" w:color="auto"/>
            </w:tcBorders>
          </w:tcPr>
          <w:p w14:paraId="6AC8B228" w14:textId="77777777" w:rsidR="004B334D" w:rsidRPr="00C51CE2" w:rsidRDefault="004B334D" w:rsidP="007E4CDF">
            <w:pPr>
              <w:widowControl w:val="0"/>
              <w:autoSpaceDE w:val="0"/>
              <w:autoSpaceDN w:val="0"/>
              <w:adjustRightInd w:val="0"/>
              <w:jc w:val="center"/>
              <w:rPr>
                <w:color w:val="000000" w:themeColor="text1"/>
              </w:rPr>
            </w:pPr>
            <w:proofErr w:type="spellStart"/>
            <w:r w:rsidRPr="00C51CE2">
              <w:rPr>
                <w:color w:val="000000" w:themeColor="text1"/>
              </w:rPr>
              <w:t>t</w:t>
            </w:r>
            <w:r w:rsidRPr="00C51CE2">
              <w:rPr>
                <w:color w:val="000000" w:themeColor="text1"/>
                <w:vertAlign w:val="subscript"/>
              </w:rPr>
              <w:t>test</w:t>
            </w:r>
            <w:proofErr w:type="spellEnd"/>
          </w:p>
          <w:p w14:paraId="3067A0CB" w14:textId="77777777" w:rsidR="004B334D" w:rsidRPr="00C51CE2" w:rsidRDefault="004B334D" w:rsidP="007E4CDF">
            <w:pPr>
              <w:jc w:val="center"/>
              <w:rPr>
                <w:color w:val="000000" w:themeColor="text1"/>
              </w:rPr>
            </w:pPr>
          </w:p>
        </w:tc>
        <w:tc>
          <w:tcPr>
            <w:tcW w:w="1843" w:type="dxa"/>
            <w:gridSpan w:val="2"/>
            <w:tcBorders>
              <w:top w:val="single" w:sz="4" w:space="0" w:color="auto"/>
              <w:bottom w:val="single" w:sz="4" w:space="0" w:color="auto"/>
            </w:tcBorders>
            <w:shd w:val="clear" w:color="auto" w:fill="auto"/>
          </w:tcPr>
          <w:p w14:paraId="129053C1" w14:textId="77777777" w:rsidR="004B334D" w:rsidRPr="00C51CE2" w:rsidRDefault="004B334D" w:rsidP="007E4CDF">
            <w:pPr>
              <w:jc w:val="right"/>
              <w:rPr>
                <w:color w:val="000000" w:themeColor="text1"/>
              </w:rPr>
            </w:pPr>
            <w:r w:rsidRPr="00C51CE2">
              <w:rPr>
                <w:color w:val="000000" w:themeColor="text1"/>
              </w:rPr>
              <w:t>t=1.067; Sig. (2 tailed)=.290</w:t>
            </w:r>
          </w:p>
        </w:tc>
        <w:tc>
          <w:tcPr>
            <w:tcW w:w="1843" w:type="dxa"/>
            <w:gridSpan w:val="2"/>
            <w:tcBorders>
              <w:top w:val="single" w:sz="4" w:space="0" w:color="auto"/>
              <w:bottom w:val="single" w:sz="4" w:space="0" w:color="auto"/>
            </w:tcBorders>
            <w:shd w:val="clear" w:color="auto" w:fill="auto"/>
          </w:tcPr>
          <w:p w14:paraId="45E9DBF2" w14:textId="77777777" w:rsidR="004B334D" w:rsidRPr="00C51CE2" w:rsidRDefault="004B334D" w:rsidP="007E4CDF">
            <w:pPr>
              <w:jc w:val="right"/>
              <w:rPr>
                <w:color w:val="000000" w:themeColor="text1"/>
              </w:rPr>
            </w:pPr>
            <w:r w:rsidRPr="00C51CE2">
              <w:rPr>
                <w:color w:val="000000" w:themeColor="text1"/>
              </w:rPr>
              <w:t>t=-.705; Sig. (2 tailed)=.482</w:t>
            </w:r>
          </w:p>
        </w:tc>
        <w:tc>
          <w:tcPr>
            <w:tcW w:w="1843" w:type="dxa"/>
            <w:gridSpan w:val="2"/>
            <w:tcBorders>
              <w:top w:val="single" w:sz="4" w:space="0" w:color="auto"/>
              <w:bottom w:val="single" w:sz="4" w:space="0" w:color="auto"/>
            </w:tcBorders>
            <w:shd w:val="clear" w:color="auto" w:fill="auto"/>
          </w:tcPr>
          <w:p w14:paraId="37A79BAC" w14:textId="77777777" w:rsidR="004B334D" w:rsidRPr="00C51CE2" w:rsidRDefault="004B334D" w:rsidP="007E4CDF">
            <w:pPr>
              <w:jc w:val="right"/>
              <w:rPr>
                <w:color w:val="000000" w:themeColor="text1"/>
              </w:rPr>
            </w:pPr>
            <w:r w:rsidRPr="00C51CE2">
              <w:rPr>
                <w:color w:val="000000" w:themeColor="text1"/>
              </w:rPr>
              <w:t>t=.325 Sig. (2 tailed)=.746</w:t>
            </w:r>
          </w:p>
        </w:tc>
        <w:tc>
          <w:tcPr>
            <w:tcW w:w="1275" w:type="dxa"/>
            <w:tcBorders>
              <w:top w:val="single" w:sz="4" w:space="0" w:color="auto"/>
              <w:bottom w:val="single" w:sz="4" w:space="0" w:color="auto"/>
            </w:tcBorders>
          </w:tcPr>
          <w:p w14:paraId="340BD746" w14:textId="77777777" w:rsidR="004B334D" w:rsidRPr="00C51CE2" w:rsidRDefault="004B334D" w:rsidP="007E4CDF">
            <w:pPr>
              <w:jc w:val="right"/>
              <w:rPr>
                <w:color w:val="000000" w:themeColor="text1"/>
              </w:rPr>
            </w:pPr>
          </w:p>
        </w:tc>
      </w:tr>
    </w:tbl>
    <w:p w14:paraId="6A85F523" w14:textId="77777777" w:rsidR="004B334D" w:rsidRPr="00C51CE2" w:rsidRDefault="004B334D" w:rsidP="004B334D">
      <w:pPr>
        <w:jc w:val="both"/>
        <w:rPr>
          <w:b/>
          <w:color w:val="000000" w:themeColor="text1"/>
        </w:rPr>
      </w:pPr>
    </w:p>
    <w:p w14:paraId="301A2F22" w14:textId="77777777" w:rsidR="004B334D" w:rsidRPr="00C51CE2" w:rsidRDefault="004B334D" w:rsidP="004B334D">
      <w:pPr>
        <w:widowControl w:val="0"/>
        <w:autoSpaceDE w:val="0"/>
        <w:autoSpaceDN w:val="0"/>
        <w:adjustRightInd w:val="0"/>
        <w:jc w:val="both"/>
        <w:rPr>
          <w:color w:val="000000" w:themeColor="text1"/>
        </w:rPr>
      </w:pPr>
    </w:p>
    <w:p w14:paraId="778F0902" w14:textId="77777777" w:rsidR="004B334D" w:rsidRPr="00C51CE2" w:rsidRDefault="004B334D" w:rsidP="004B334D">
      <w:pPr>
        <w:widowControl w:val="0"/>
        <w:autoSpaceDE w:val="0"/>
        <w:autoSpaceDN w:val="0"/>
        <w:adjustRightInd w:val="0"/>
        <w:jc w:val="both"/>
        <w:rPr>
          <w:color w:val="000000" w:themeColor="text1"/>
        </w:rPr>
      </w:pPr>
    </w:p>
    <w:p w14:paraId="455993E1" w14:textId="77777777" w:rsidR="004B334D" w:rsidRPr="00C51CE2" w:rsidRDefault="004B334D" w:rsidP="004B334D">
      <w:pPr>
        <w:widowControl w:val="0"/>
        <w:autoSpaceDE w:val="0"/>
        <w:autoSpaceDN w:val="0"/>
        <w:adjustRightInd w:val="0"/>
        <w:jc w:val="both"/>
        <w:rPr>
          <w:color w:val="000000" w:themeColor="text1"/>
        </w:rPr>
      </w:pPr>
    </w:p>
    <w:p w14:paraId="188AE5D9" w14:textId="77777777" w:rsidR="004B334D" w:rsidRPr="00C51CE2" w:rsidRDefault="004B334D" w:rsidP="004B334D">
      <w:pPr>
        <w:widowControl w:val="0"/>
        <w:autoSpaceDE w:val="0"/>
        <w:autoSpaceDN w:val="0"/>
        <w:adjustRightInd w:val="0"/>
        <w:jc w:val="both"/>
        <w:rPr>
          <w:color w:val="000000" w:themeColor="text1"/>
        </w:rPr>
      </w:pPr>
    </w:p>
    <w:p w14:paraId="23A077C5" w14:textId="77777777" w:rsidR="004B334D" w:rsidRPr="00C51CE2" w:rsidRDefault="004B334D" w:rsidP="004B334D">
      <w:pPr>
        <w:widowControl w:val="0"/>
        <w:autoSpaceDE w:val="0"/>
        <w:autoSpaceDN w:val="0"/>
        <w:adjustRightInd w:val="0"/>
        <w:jc w:val="both"/>
        <w:rPr>
          <w:color w:val="000000" w:themeColor="text1"/>
        </w:rPr>
      </w:pPr>
    </w:p>
    <w:p w14:paraId="5E1F9469" w14:textId="77777777" w:rsidR="004B334D" w:rsidRPr="00C51CE2" w:rsidRDefault="004B334D" w:rsidP="004B334D">
      <w:pPr>
        <w:widowControl w:val="0"/>
        <w:autoSpaceDE w:val="0"/>
        <w:autoSpaceDN w:val="0"/>
        <w:adjustRightInd w:val="0"/>
        <w:jc w:val="both"/>
        <w:rPr>
          <w:color w:val="000000" w:themeColor="text1"/>
        </w:rPr>
      </w:pPr>
    </w:p>
    <w:p w14:paraId="7C8D63CC" w14:textId="77777777" w:rsidR="004B334D" w:rsidRPr="00C51CE2" w:rsidRDefault="004B334D" w:rsidP="004B334D">
      <w:pPr>
        <w:widowControl w:val="0"/>
        <w:autoSpaceDE w:val="0"/>
        <w:autoSpaceDN w:val="0"/>
        <w:adjustRightInd w:val="0"/>
        <w:jc w:val="both"/>
        <w:rPr>
          <w:color w:val="000000" w:themeColor="text1"/>
        </w:rPr>
      </w:pPr>
    </w:p>
    <w:p w14:paraId="573A7947" w14:textId="77777777" w:rsidR="004B334D" w:rsidRPr="00C51CE2" w:rsidRDefault="004B334D" w:rsidP="004B334D">
      <w:pPr>
        <w:widowControl w:val="0"/>
        <w:autoSpaceDE w:val="0"/>
        <w:autoSpaceDN w:val="0"/>
        <w:adjustRightInd w:val="0"/>
        <w:jc w:val="both"/>
        <w:rPr>
          <w:color w:val="000000" w:themeColor="text1"/>
        </w:rPr>
      </w:pPr>
    </w:p>
    <w:p w14:paraId="794B6F7B" w14:textId="77777777" w:rsidR="004B334D" w:rsidRPr="00C51CE2" w:rsidRDefault="004B334D" w:rsidP="004B334D">
      <w:pPr>
        <w:rPr>
          <w:color w:val="000000" w:themeColor="text1"/>
        </w:rPr>
        <w:sectPr w:rsidR="004B334D" w:rsidRPr="00C51CE2">
          <w:pgSz w:w="11900" w:h="16840"/>
          <w:pgMar w:top="2268" w:right="1701" w:bottom="1701" w:left="2268" w:header="709" w:footer="709" w:gutter="0"/>
          <w:cols w:space="708"/>
          <w:docGrid w:linePitch="360"/>
        </w:sectPr>
      </w:pPr>
    </w:p>
    <w:tbl>
      <w:tblPr>
        <w:tblW w:w="13292" w:type="dxa"/>
        <w:tblInd w:w="-851" w:type="dxa"/>
        <w:tblLayout w:type="fixed"/>
        <w:tblLook w:val="04A0" w:firstRow="1" w:lastRow="0" w:firstColumn="1" w:lastColumn="0" w:noHBand="0" w:noVBand="1"/>
      </w:tblPr>
      <w:tblGrid>
        <w:gridCol w:w="959"/>
        <w:gridCol w:w="851"/>
        <w:gridCol w:w="709"/>
        <w:gridCol w:w="850"/>
        <w:gridCol w:w="709"/>
        <w:gridCol w:w="1276"/>
        <w:gridCol w:w="708"/>
        <w:gridCol w:w="851"/>
        <w:gridCol w:w="850"/>
        <w:gridCol w:w="709"/>
        <w:gridCol w:w="1134"/>
        <w:gridCol w:w="709"/>
        <w:gridCol w:w="709"/>
        <w:gridCol w:w="708"/>
        <w:gridCol w:w="709"/>
        <w:gridCol w:w="851"/>
      </w:tblGrid>
      <w:tr w:rsidR="004B334D" w:rsidRPr="00C51CE2" w14:paraId="584AD8CC" w14:textId="77777777" w:rsidTr="007E4CDF">
        <w:trPr>
          <w:trHeight w:val="260"/>
        </w:trPr>
        <w:tc>
          <w:tcPr>
            <w:tcW w:w="9606" w:type="dxa"/>
            <w:gridSpan w:val="11"/>
            <w:tcBorders>
              <w:top w:val="nil"/>
              <w:left w:val="nil"/>
              <w:bottom w:val="single" w:sz="4" w:space="0" w:color="auto"/>
              <w:right w:val="nil"/>
            </w:tcBorders>
            <w:shd w:val="clear" w:color="auto" w:fill="auto"/>
            <w:noWrap/>
            <w:vAlign w:val="bottom"/>
            <w:hideMark/>
          </w:tcPr>
          <w:p w14:paraId="5E00C7F4" w14:textId="77777777" w:rsidR="004B334D" w:rsidRPr="00C51CE2" w:rsidRDefault="004B334D" w:rsidP="007E4CDF">
            <w:pPr>
              <w:rPr>
                <w:color w:val="000000" w:themeColor="text1"/>
              </w:rPr>
            </w:pPr>
            <w:r w:rsidRPr="00C51CE2">
              <w:rPr>
                <w:color w:val="000000" w:themeColor="text1"/>
              </w:rPr>
              <w:lastRenderedPageBreak/>
              <w:t>Table 4 Mean Score Compa</w:t>
            </w:r>
            <w:r>
              <w:rPr>
                <w:color w:val="000000" w:themeColor="text1"/>
              </w:rPr>
              <w:t>rison</w:t>
            </w:r>
            <w:r w:rsidRPr="00C51CE2">
              <w:rPr>
                <w:color w:val="000000" w:themeColor="text1"/>
              </w:rPr>
              <w:t xml:space="preserve"> on </w:t>
            </w:r>
            <w:commentRangeStart w:id="22"/>
            <w:r w:rsidRPr="00C51CE2">
              <w:rPr>
                <w:color w:val="000000" w:themeColor="text1"/>
              </w:rPr>
              <w:t>Gender</w:t>
            </w:r>
            <w:commentRangeEnd w:id="22"/>
            <w:r>
              <w:rPr>
                <w:rStyle w:val="CommentReference"/>
              </w:rPr>
              <w:commentReference w:id="22"/>
            </w:r>
            <w:r w:rsidRPr="00C51CE2">
              <w:rPr>
                <w:color w:val="000000" w:themeColor="text1"/>
              </w:rPr>
              <w:t xml:space="preserve"> </w:t>
            </w:r>
          </w:p>
          <w:p w14:paraId="5F03C8A9" w14:textId="77777777" w:rsidR="004B334D" w:rsidRPr="00C51CE2" w:rsidRDefault="004B334D" w:rsidP="007E4CDF">
            <w:pPr>
              <w:rPr>
                <w:color w:val="000000" w:themeColor="text1"/>
              </w:rPr>
            </w:pPr>
          </w:p>
        </w:tc>
        <w:tc>
          <w:tcPr>
            <w:tcW w:w="709" w:type="dxa"/>
            <w:tcBorders>
              <w:top w:val="nil"/>
              <w:left w:val="nil"/>
              <w:bottom w:val="single" w:sz="4" w:space="0" w:color="auto"/>
              <w:right w:val="nil"/>
            </w:tcBorders>
          </w:tcPr>
          <w:p w14:paraId="2F35E040" w14:textId="77777777" w:rsidR="004B334D" w:rsidRPr="00C51CE2" w:rsidRDefault="004B334D" w:rsidP="007E4CDF">
            <w:pPr>
              <w:rPr>
                <w:color w:val="000000" w:themeColor="text1"/>
              </w:rPr>
            </w:pPr>
          </w:p>
        </w:tc>
        <w:tc>
          <w:tcPr>
            <w:tcW w:w="709" w:type="dxa"/>
            <w:tcBorders>
              <w:top w:val="nil"/>
              <w:left w:val="nil"/>
              <w:bottom w:val="single" w:sz="4" w:space="0" w:color="auto"/>
              <w:right w:val="nil"/>
            </w:tcBorders>
          </w:tcPr>
          <w:p w14:paraId="40E8BD75" w14:textId="77777777" w:rsidR="004B334D" w:rsidRPr="00C51CE2" w:rsidRDefault="004B334D" w:rsidP="007E4CDF">
            <w:pPr>
              <w:rPr>
                <w:color w:val="000000" w:themeColor="text1"/>
              </w:rPr>
            </w:pPr>
          </w:p>
        </w:tc>
        <w:tc>
          <w:tcPr>
            <w:tcW w:w="708" w:type="dxa"/>
            <w:tcBorders>
              <w:top w:val="nil"/>
              <w:left w:val="nil"/>
              <w:bottom w:val="single" w:sz="4" w:space="0" w:color="auto"/>
              <w:right w:val="nil"/>
            </w:tcBorders>
          </w:tcPr>
          <w:p w14:paraId="3BB912E9" w14:textId="77777777" w:rsidR="004B334D" w:rsidRPr="00C51CE2" w:rsidRDefault="004B334D" w:rsidP="007E4CDF">
            <w:pPr>
              <w:rPr>
                <w:color w:val="000000" w:themeColor="text1"/>
              </w:rPr>
            </w:pPr>
          </w:p>
        </w:tc>
        <w:tc>
          <w:tcPr>
            <w:tcW w:w="709" w:type="dxa"/>
            <w:tcBorders>
              <w:top w:val="nil"/>
              <w:left w:val="nil"/>
              <w:bottom w:val="single" w:sz="4" w:space="0" w:color="auto"/>
              <w:right w:val="nil"/>
            </w:tcBorders>
          </w:tcPr>
          <w:p w14:paraId="46175394" w14:textId="77777777" w:rsidR="004B334D" w:rsidRPr="00C51CE2" w:rsidRDefault="004B334D" w:rsidP="007E4CDF">
            <w:pPr>
              <w:rPr>
                <w:color w:val="000000" w:themeColor="text1"/>
              </w:rPr>
            </w:pPr>
          </w:p>
        </w:tc>
        <w:tc>
          <w:tcPr>
            <w:tcW w:w="851" w:type="dxa"/>
            <w:tcBorders>
              <w:top w:val="nil"/>
              <w:left w:val="nil"/>
              <w:bottom w:val="single" w:sz="4" w:space="0" w:color="auto"/>
              <w:right w:val="nil"/>
            </w:tcBorders>
          </w:tcPr>
          <w:p w14:paraId="07EE33EE" w14:textId="77777777" w:rsidR="004B334D" w:rsidRPr="00C51CE2" w:rsidRDefault="004B334D" w:rsidP="007E4CDF">
            <w:pPr>
              <w:rPr>
                <w:color w:val="000000" w:themeColor="text1"/>
              </w:rPr>
            </w:pPr>
          </w:p>
        </w:tc>
      </w:tr>
      <w:tr w:rsidR="004B334D" w:rsidRPr="00C51CE2" w14:paraId="66422464" w14:textId="77777777" w:rsidTr="007E4CDF">
        <w:trPr>
          <w:trHeight w:val="360"/>
        </w:trPr>
        <w:tc>
          <w:tcPr>
            <w:tcW w:w="959" w:type="dxa"/>
            <w:vMerge w:val="restart"/>
            <w:tcBorders>
              <w:top w:val="single" w:sz="4" w:space="0" w:color="auto"/>
              <w:bottom w:val="single" w:sz="4" w:space="0" w:color="auto"/>
            </w:tcBorders>
            <w:shd w:val="clear" w:color="auto" w:fill="auto"/>
            <w:vAlign w:val="center"/>
            <w:hideMark/>
          </w:tcPr>
          <w:p w14:paraId="4A6BF1CF" w14:textId="77777777" w:rsidR="004B334D" w:rsidRPr="00C51CE2" w:rsidRDefault="004B334D" w:rsidP="007E4CDF">
            <w:pPr>
              <w:jc w:val="center"/>
              <w:rPr>
                <w:color w:val="000000" w:themeColor="text1"/>
                <w:sz w:val="16"/>
                <w:szCs w:val="16"/>
              </w:rPr>
            </w:pPr>
            <w:r w:rsidRPr="00C51CE2">
              <w:rPr>
                <w:color w:val="000000" w:themeColor="text1"/>
                <w:sz w:val="16"/>
                <w:szCs w:val="16"/>
              </w:rPr>
              <w:t>Subscale</w:t>
            </w:r>
          </w:p>
        </w:tc>
        <w:tc>
          <w:tcPr>
            <w:tcW w:w="3119" w:type="dxa"/>
            <w:gridSpan w:val="4"/>
            <w:tcBorders>
              <w:top w:val="single" w:sz="4" w:space="0" w:color="auto"/>
              <w:bottom w:val="single" w:sz="4" w:space="0" w:color="auto"/>
            </w:tcBorders>
            <w:shd w:val="clear" w:color="auto" w:fill="auto"/>
            <w:vAlign w:val="center"/>
            <w:hideMark/>
          </w:tcPr>
          <w:p w14:paraId="2A287B07" w14:textId="77777777" w:rsidR="004B334D" w:rsidRPr="00C51CE2" w:rsidRDefault="004B334D" w:rsidP="007E4CDF">
            <w:pPr>
              <w:jc w:val="center"/>
              <w:rPr>
                <w:color w:val="000000" w:themeColor="text1"/>
                <w:sz w:val="16"/>
                <w:szCs w:val="16"/>
              </w:rPr>
            </w:pPr>
            <w:r w:rsidRPr="00C51CE2">
              <w:rPr>
                <w:color w:val="000000" w:themeColor="text1"/>
                <w:sz w:val="16"/>
                <w:szCs w:val="16"/>
              </w:rPr>
              <w:t>Female Comparation</w:t>
            </w:r>
          </w:p>
        </w:tc>
        <w:tc>
          <w:tcPr>
            <w:tcW w:w="1276" w:type="dxa"/>
            <w:vMerge w:val="restart"/>
            <w:tcBorders>
              <w:top w:val="single" w:sz="4" w:space="0" w:color="auto"/>
              <w:bottom w:val="single" w:sz="4" w:space="0" w:color="auto"/>
            </w:tcBorders>
            <w:shd w:val="clear" w:color="auto" w:fill="auto"/>
            <w:vAlign w:val="center"/>
            <w:hideMark/>
          </w:tcPr>
          <w:p w14:paraId="6E047370" w14:textId="77777777" w:rsidR="004B334D" w:rsidRPr="00C51CE2" w:rsidRDefault="004B334D" w:rsidP="007E4CDF">
            <w:pPr>
              <w:jc w:val="center"/>
              <w:rPr>
                <w:color w:val="000000" w:themeColor="text1"/>
                <w:sz w:val="16"/>
                <w:szCs w:val="16"/>
              </w:rPr>
            </w:pPr>
            <w:proofErr w:type="spellStart"/>
            <w:r w:rsidRPr="00C51CE2">
              <w:rPr>
                <w:color w:val="000000" w:themeColor="text1"/>
                <w:sz w:val="16"/>
                <w:szCs w:val="16"/>
              </w:rPr>
              <w:t>t</w:t>
            </w:r>
            <w:r w:rsidRPr="00C51CE2">
              <w:rPr>
                <w:color w:val="000000" w:themeColor="text1"/>
                <w:sz w:val="16"/>
                <w:szCs w:val="16"/>
                <w:vertAlign w:val="subscript"/>
              </w:rPr>
              <w:t>test</w:t>
            </w:r>
            <w:proofErr w:type="spellEnd"/>
          </w:p>
        </w:tc>
        <w:tc>
          <w:tcPr>
            <w:tcW w:w="3118" w:type="dxa"/>
            <w:gridSpan w:val="4"/>
            <w:tcBorders>
              <w:top w:val="single" w:sz="4" w:space="0" w:color="auto"/>
              <w:bottom w:val="single" w:sz="4" w:space="0" w:color="auto"/>
            </w:tcBorders>
            <w:shd w:val="clear" w:color="auto" w:fill="auto"/>
            <w:vAlign w:val="center"/>
            <w:hideMark/>
          </w:tcPr>
          <w:p w14:paraId="3BCD7CDC" w14:textId="77777777" w:rsidR="004B334D" w:rsidRPr="00C51CE2" w:rsidRDefault="004B334D" w:rsidP="007E4CDF">
            <w:pPr>
              <w:jc w:val="center"/>
              <w:rPr>
                <w:color w:val="000000" w:themeColor="text1"/>
                <w:sz w:val="16"/>
                <w:szCs w:val="16"/>
              </w:rPr>
            </w:pPr>
            <w:r w:rsidRPr="00C51CE2">
              <w:rPr>
                <w:color w:val="000000" w:themeColor="text1"/>
                <w:sz w:val="16"/>
                <w:szCs w:val="16"/>
              </w:rPr>
              <w:t>Male Comparation</w:t>
            </w:r>
          </w:p>
        </w:tc>
        <w:tc>
          <w:tcPr>
            <w:tcW w:w="1134" w:type="dxa"/>
            <w:vMerge w:val="restart"/>
            <w:tcBorders>
              <w:top w:val="single" w:sz="4" w:space="0" w:color="auto"/>
            </w:tcBorders>
            <w:shd w:val="clear" w:color="auto" w:fill="auto"/>
            <w:vAlign w:val="center"/>
            <w:hideMark/>
          </w:tcPr>
          <w:p w14:paraId="553BD06C" w14:textId="77777777" w:rsidR="004B334D" w:rsidRPr="00C51CE2" w:rsidRDefault="004B334D" w:rsidP="007E4CDF">
            <w:pPr>
              <w:jc w:val="center"/>
              <w:rPr>
                <w:color w:val="000000" w:themeColor="text1"/>
                <w:sz w:val="16"/>
                <w:szCs w:val="16"/>
              </w:rPr>
            </w:pPr>
            <w:proofErr w:type="spellStart"/>
            <w:r w:rsidRPr="00C51CE2">
              <w:rPr>
                <w:color w:val="000000" w:themeColor="text1"/>
                <w:sz w:val="16"/>
                <w:szCs w:val="16"/>
              </w:rPr>
              <w:t>t</w:t>
            </w:r>
            <w:r w:rsidRPr="00C51CE2">
              <w:rPr>
                <w:color w:val="000000" w:themeColor="text1"/>
                <w:sz w:val="16"/>
                <w:szCs w:val="16"/>
                <w:vertAlign w:val="subscript"/>
              </w:rPr>
              <w:t>test</w:t>
            </w:r>
            <w:proofErr w:type="spellEnd"/>
          </w:p>
        </w:tc>
        <w:tc>
          <w:tcPr>
            <w:tcW w:w="2835" w:type="dxa"/>
            <w:gridSpan w:val="4"/>
            <w:tcBorders>
              <w:top w:val="single" w:sz="4" w:space="0" w:color="auto"/>
              <w:bottom w:val="single" w:sz="4" w:space="0" w:color="auto"/>
            </w:tcBorders>
            <w:vAlign w:val="center"/>
          </w:tcPr>
          <w:p w14:paraId="72B7AA87" w14:textId="77777777" w:rsidR="004B334D" w:rsidRPr="00C51CE2" w:rsidRDefault="004B334D" w:rsidP="007E4CDF">
            <w:pPr>
              <w:jc w:val="center"/>
              <w:rPr>
                <w:color w:val="000000" w:themeColor="text1"/>
                <w:sz w:val="16"/>
                <w:szCs w:val="16"/>
              </w:rPr>
            </w:pPr>
            <w:r w:rsidRPr="00C51CE2">
              <w:rPr>
                <w:color w:val="000000" w:themeColor="text1"/>
                <w:sz w:val="16"/>
                <w:szCs w:val="16"/>
              </w:rPr>
              <w:t>Gender Comparation</w:t>
            </w:r>
          </w:p>
        </w:tc>
        <w:tc>
          <w:tcPr>
            <w:tcW w:w="851" w:type="dxa"/>
            <w:tcBorders>
              <w:top w:val="single" w:sz="4" w:space="0" w:color="auto"/>
              <w:bottom w:val="single" w:sz="4" w:space="0" w:color="auto"/>
            </w:tcBorders>
          </w:tcPr>
          <w:p w14:paraId="0B160172" w14:textId="77777777" w:rsidR="004B334D" w:rsidRPr="00C51CE2" w:rsidRDefault="004B334D" w:rsidP="007E4CDF">
            <w:pPr>
              <w:jc w:val="center"/>
              <w:rPr>
                <w:color w:val="000000" w:themeColor="text1"/>
                <w:sz w:val="16"/>
                <w:szCs w:val="16"/>
              </w:rPr>
            </w:pPr>
          </w:p>
        </w:tc>
      </w:tr>
      <w:tr w:rsidR="004B334D" w:rsidRPr="00C51CE2" w14:paraId="7CBA5EB2" w14:textId="77777777" w:rsidTr="007E4CDF">
        <w:trPr>
          <w:trHeight w:val="320"/>
        </w:trPr>
        <w:tc>
          <w:tcPr>
            <w:tcW w:w="959" w:type="dxa"/>
            <w:vMerge/>
            <w:tcBorders>
              <w:top w:val="single" w:sz="4" w:space="0" w:color="auto"/>
              <w:bottom w:val="single" w:sz="4" w:space="0" w:color="auto"/>
            </w:tcBorders>
            <w:shd w:val="clear" w:color="auto" w:fill="auto"/>
            <w:vAlign w:val="center"/>
            <w:hideMark/>
          </w:tcPr>
          <w:p w14:paraId="127AF017" w14:textId="77777777" w:rsidR="004B334D" w:rsidRPr="00C51CE2" w:rsidRDefault="004B334D" w:rsidP="007E4CDF">
            <w:pPr>
              <w:rPr>
                <w:color w:val="000000" w:themeColor="text1"/>
                <w:sz w:val="16"/>
                <w:szCs w:val="16"/>
              </w:rPr>
            </w:pPr>
          </w:p>
        </w:tc>
        <w:tc>
          <w:tcPr>
            <w:tcW w:w="1560" w:type="dxa"/>
            <w:gridSpan w:val="2"/>
            <w:tcBorders>
              <w:top w:val="single" w:sz="4" w:space="0" w:color="auto"/>
              <w:bottom w:val="single" w:sz="4" w:space="0" w:color="auto"/>
            </w:tcBorders>
            <w:shd w:val="clear" w:color="auto" w:fill="auto"/>
            <w:vAlign w:val="center"/>
            <w:hideMark/>
          </w:tcPr>
          <w:p w14:paraId="11595B14" w14:textId="77777777" w:rsidR="004B334D" w:rsidRPr="00C51CE2" w:rsidRDefault="004B334D" w:rsidP="007E4CDF">
            <w:pPr>
              <w:jc w:val="center"/>
              <w:rPr>
                <w:color w:val="000000" w:themeColor="text1"/>
                <w:sz w:val="16"/>
                <w:szCs w:val="16"/>
              </w:rPr>
            </w:pPr>
            <w:r w:rsidRPr="00C51CE2">
              <w:rPr>
                <w:color w:val="000000" w:themeColor="text1"/>
                <w:sz w:val="16"/>
                <w:szCs w:val="16"/>
              </w:rPr>
              <w:t>IHS (n=89)</w:t>
            </w:r>
          </w:p>
        </w:tc>
        <w:tc>
          <w:tcPr>
            <w:tcW w:w="1559" w:type="dxa"/>
            <w:gridSpan w:val="2"/>
            <w:tcBorders>
              <w:top w:val="single" w:sz="4" w:space="0" w:color="auto"/>
              <w:bottom w:val="single" w:sz="4" w:space="0" w:color="auto"/>
            </w:tcBorders>
            <w:shd w:val="clear" w:color="auto" w:fill="auto"/>
            <w:vAlign w:val="center"/>
            <w:hideMark/>
          </w:tcPr>
          <w:p w14:paraId="2C07D500" w14:textId="77777777" w:rsidR="004B334D" w:rsidRPr="00C51CE2" w:rsidRDefault="004B334D" w:rsidP="007E4CDF">
            <w:pPr>
              <w:jc w:val="center"/>
              <w:rPr>
                <w:color w:val="000000" w:themeColor="text1"/>
                <w:sz w:val="16"/>
                <w:szCs w:val="16"/>
              </w:rPr>
            </w:pPr>
            <w:r w:rsidRPr="00C51CE2">
              <w:rPr>
                <w:color w:val="000000" w:themeColor="text1"/>
                <w:sz w:val="16"/>
                <w:szCs w:val="16"/>
              </w:rPr>
              <w:t>PHS (n=73)</w:t>
            </w:r>
          </w:p>
        </w:tc>
        <w:tc>
          <w:tcPr>
            <w:tcW w:w="1276" w:type="dxa"/>
            <w:vMerge/>
            <w:tcBorders>
              <w:top w:val="single" w:sz="4" w:space="0" w:color="auto"/>
              <w:bottom w:val="single" w:sz="4" w:space="0" w:color="auto"/>
            </w:tcBorders>
            <w:shd w:val="clear" w:color="auto" w:fill="auto"/>
            <w:vAlign w:val="center"/>
            <w:hideMark/>
          </w:tcPr>
          <w:p w14:paraId="43832675" w14:textId="77777777" w:rsidR="004B334D" w:rsidRPr="00C51CE2" w:rsidRDefault="004B334D" w:rsidP="007E4CDF">
            <w:pPr>
              <w:rPr>
                <w:color w:val="000000" w:themeColor="text1"/>
                <w:sz w:val="16"/>
                <w:szCs w:val="16"/>
              </w:rPr>
            </w:pPr>
          </w:p>
        </w:tc>
        <w:tc>
          <w:tcPr>
            <w:tcW w:w="1559" w:type="dxa"/>
            <w:gridSpan w:val="2"/>
            <w:tcBorders>
              <w:top w:val="single" w:sz="4" w:space="0" w:color="auto"/>
              <w:bottom w:val="single" w:sz="4" w:space="0" w:color="auto"/>
            </w:tcBorders>
            <w:shd w:val="clear" w:color="auto" w:fill="auto"/>
            <w:vAlign w:val="center"/>
            <w:hideMark/>
          </w:tcPr>
          <w:p w14:paraId="19673EF5" w14:textId="77777777" w:rsidR="004B334D" w:rsidRPr="00C51CE2" w:rsidRDefault="004B334D" w:rsidP="007E4CDF">
            <w:pPr>
              <w:jc w:val="center"/>
              <w:rPr>
                <w:color w:val="000000" w:themeColor="text1"/>
                <w:sz w:val="16"/>
                <w:szCs w:val="16"/>
              </w:rPr>
            </w:pPr>
            <w:r w:rsidRPr="00C51CE2">
              <w:rPr>
                <w:color w:val="000000" w:themeColor="text1"/>
                <w:sz w:val="16"/>
                <w:szCs w:val="16"/>
              </w:rPr>
              <w:t>IHS (n=34)</w:t>
            </w:r>
          </w:p>
        </w:tc>
        <w:tc>
          <w:tcPr>
            <w:tcW w:w="1559" w:type="dxa"/>
            <w:gridSpan w:val="2"/>
            <w:tcBorders>
              <w:top w:val="single" w:sz="4" w:space="0" w:color="auto"/>
              <w:bottom w:val="single" w:sz="4" w:space="0" w:color="auto"/>
            </w:tcBorders>
            <w:shd w:val="clear" w:color="auto" w:fill="auto"/>
            <w:vAlign w:val="center"/>
            <w:hideMark/>
          </w:tcPr>
          <w:p w14:paraId="28E6F86C" w14:textId="77777777" w:rsidR="004B334D" w:rsidRPr="00C51CE2" w:rsidRDefault="004B334D" w:rsidP="007E4CDF">
            <w:pPr>
              <w:jc w:val="center"/>
              <w:rPr>
                <w:color w:val="000000" w:themeColor="text1"/>
                <w:sz w:val="16"/>
                <w:szCs w:val="16"/>
              </w:rPr>
            </w:pPr>
            <w:r w:rsidRPr="00C51CE2">
              <w:rPr>
                <w:color w:val="000000" w:themeColor="text1"/>
                <w:sz w:val="16"/>
                <w:szCs w:val="16"/>
              </w:rPr>
              <w:t>PHS (n=50)</w:t>
            </w:r>
          </w:p>
        </w:tc>
        <w:tc>
          <w:tcPr>
            <w:tcW w:w="1134" w:type="dxa"/>
            <w:vMerge/>
            <w:shd w:val="clear" w:color="auto" w:fill="auto"/>
            <w:vAlign w:val="center"/>
            <w:hideMark/>
          </w:tcPr>
          <w:p w14:paraId="3FD522A6" w14:textId="77777777" w:rsidR="004B334D" w:rsidRPr="00C51CE2" w:rsidRDefault="004B334D" w:rsidP="007E4CDF">
            <w:pPr>
              <w:rPr>
                <w:color w:val="000000" w:themeColor="text1"/>
                <w:sz w:val="16"/>
                <w:szCs w:val="16"/>
              </w:rPr>
            </w:pPr>
          </w:p>
        </w:tc>
        <w:tc>
          <w:tcPr>
            <w:tcW w:w="1418" w:type="dxa"/>
            <w:gridSpan w:val="2"/>
            <w:tcBorders>
              <w:top w:val="single" w:sz="4" w:space="0" w:color="auto"/>
              <w:bottom w:val="single" w:sz="4" w:space="0" w:color="auto"/>
            </w:tcBorders>
          </w:tcPr>
          <w:p w14:paraId="6E9F04DB" w14:textId="77777777" w:rsidR="004B334D" w:rsidRPr="00C51CE2" w:rsidRDefault="004B334D" w:rsidP="007E4CDF">
            <w:pPr>
              <w:jc w:val="center"/>
              <w:rPr>
                <w:color w:val="000000" w:themeColor="text1"/>
                <w:sz w:val="16"/>
                <w:szCs w:val="16"/>
              </w:rPr>
            </w:pPr>
            <w:r w:rsidRPr="00C51CE2">
              <w:rPr>
                <w:color w:val="000000" w:themeColor="text1"/>
                <w:sz w:val="16"/>
                <w:szCs w:val="16"/>
              </w:rPr>
              <w:t>Male (n=84)</w:t>
            </w:r>
          </w:p>
        </w:tc>
        <w:tc>
          <w:tcPr>
            <w:tcW w:w="1417" w:type="dxa"/>
            <w:gridSpan w:val="2"/>
            <w:tcBorders>
              <w:top w:val="single" w:sz="4" w:space="0" w:color="auto"/>
              <w:bottom w:val="single" w:sz="4" w:space="0" w:color="auto"/>
            </w:tcBorders>
          </w:tcPr>
          <w:p w14:paraId="658A3B7E" w14:textId="77777777" w:rsidR="004B334D" w:rsidRPr="00C51CE2" w:rsidRDefault="004B334D" w:rsidP="007E4CDF">
            <w:pPr>
              <w:jc w:val="center"/>
              <w:rPr>
                <w:color w:val="000000" w:themeColor="text1"/>
                <w:sz w:val="16"/>
                <w:szCs w:val="16"/>
              </w:rPr>
            </w:pPr>
            <w:r w:rsidRPr="00C51CE2">
              <w:rPr>
                <w:color w:val="000000" w:themeColor="text1"/>
                <w:sz w:val="16"/>
                <w:szCs w:val="16"/>
              </w:rPr>
              <w:t>Female (n=162)</w:t>
            </w:r>
          </w:p>
        </w:tc>
        <w:tc>
          <w:tcPr>
            <w:tcW w:w="851" w:type="dxa"/>
            <w:tcBorders>
              <w:top w:val="single" w:sz="4" w:space="0" w:color="auto"/>
              <w:bottom w:val="single" w:sz="4" w:space="0" w:color="auto"/>
            </w:tcBorders>
            <w:vAlign w:val="center"/>
          </w:tcPr>
          <w:p w14:paraId="03194D62" w14:textId="77777777" w:rsidR="004B334D" w:rsidRPr="00C51CE2" w:rsidRDefault="004B334D" w:rsidP="007E4CDF">
            <w:pPr>
              <w:jc w:val="center"/>
              <w:rPr>
                <w:color w:val="000000" w:themeColor="text1"/>
                <w:sz w:val="16"/>
                <w:szCs w:val="16"/>
              </w:rPr>
            </w:pPr>
            <w:proofErr w:type="spellStart"/>
            <w:r w:rsidRPr="00C51CE2">
              <w:rPr>
                <w:color w:val="000000" w:themeColor="text1"/>
                <w:sz w:val="16"/>
                <w:szCs w:val="16"/>
              </w:rPr>
              <w:t>t</w:t>
            </w:r>
            <w:r w:rsidRPr="00C51CE2">
              <w:rPr>
                <w:color w:val="000000" w:themeColor="text1"/>
                <w:sz w:val="16"/>
                <w:szCs w:val="16"/>
                <w:vertAlign w:val="subscript"/>
              </w:rPr>
              <w:t>test</w:t>
            </w:r>
            <w:proofErr w:type="spellEnd"/>
          </w:p>
        </w:tc>
      </w:tr>
      <w:tr w:rsidR="004B334D" w:rsidRPr="00C51CE2" w14:paraId="0F90D815" w14:textId="77777777" w:rsidTr="007E4CDF">
        <w:trPr>
          <w:trHeight w:val="320"/>
        </w:trPr>
        <w:tc>
          <w:tcPr>
            <w:tcW w:w="959" w:type="dxa"/>
            <w:vMerge/>
            <w:tcBorders>
              <w:top w:val="single" w:sz="4" w:space="0" w:color="auto"/>
              <w:bottom w:val="single" w:sz="4" w:space="0" w:color="auto"/>
            </w:tcBorders>
            <w:shd w:val="clear" w:color="auto" w:fill="auto"/>
            <w:vAlign w:val="center"/>
            <w:hideMark/>
          </w:tcPr>
          <w:p w14:paraId="14CFD86B" w14:textId="77777777" w:rsidR="004B334D" w:rsidRPr="00C51CE2" w:rsidRDefault="004B334D" w:rsidP="007E4CDF">
            <w:pPr>
              <w:rPr>
                <w:color w:val="000000" w:themeColor="text1"/>
                <w:sz w:val="16"/>
                <w:szCs w:val="16"/>
              </w:rPr>
            </w:pPr>
          </w:p>
        </w:tc>
        <w:tc>
          <w:tcPr>
            <w:tcW w:w="851" w:type="dxa"/>
            <w:tcBorders>
              <w:top w:val="single" w:sz="4" w:space="0" w:color="auto"/>
              <w:bottom w:val="single" w:sz="4" w:space="0" w:color="auto"/>
            </w:tcBorders>
            <w:shd w:val="clear" w:color="auto" w:fill="auto"/>
            <w:vAlign w:val="center"/>
            <w:hideMark/>
          </w:tcPr>
          <w:p w14:paraId="04AE2DC2" w14:textId="77777777" w:rsidR="004B334D" w:rsidRPr="00C51CE2" w:rsidRDefault="004B334D" w:rsidP="007E4CDF">
            <w:pPr>
              <w:jc w:val="center"/>
              <w:rPr>
                <w:color w:val="000000" w:themeColor="text1"/>
                <w:sz w:val="16"/>
                <w:szCs w:val="16"/>
              </w:rPr>
            </w:pPr>
            <w:r w:rsidRPr="00C51CE2">
              <w:rPr>
                <w:color w:val="000000" w:themeColor="text1"/>
                <w:sz w:val="16"/>
                <w:szCs w:val="16"/>
              </w:rPr>
              <w:t>Mean</w:t>
            </w:r>
          </w:p>
        </w:tc>
        <w:tc>
          <w:tcPr>
            <w:tcW w:w="709" w:type="dxa"/>
            <w:tcBorders>
              <w:top w:val="single" w:sz="4" w:space="0" w:color="auto"/>
              <w:bottom w:val="single" w:sz="4" w:space="0" w:color="auto"/>
            </w:tcBorders>
            <w:shd w:val="clear" w:color="auto" w:fill="auto"/>
            <w:vAlign w:val="center"/>
            <w:hideMark/>
          </w:tcPr>
          <w:p w14:paraId="291E1763" w14:textId="77777777" w:rsidR="004B334D" w:rsidRPr="00C51CE2" w:rsidRDefault="004B334D" w:rsidP="007E4CDF">
            <w:pPr>
              <w:jc w:val="center"/>
              <w:rPr>
                <w:color w:val="000000" w:themeColor="text1"/>
                <w:sz w:val="16"/>
                <w:szCs w:val="16"/>
              </w:rPr>
            </w:pPr>
            <w:r w:rsidRPr="00C51CE2">
              <w:rPr>
                <w:color w:val="000000" w:themeColor="text1"/>
                <w:sz w:val="16"/>
                <w:szCs w:val="16"/>
              </w:rPr>
              <w:t>SD</w:t>
            </w:r>
          </w:p>
        </w:tc>
        <w:tc>
          <w:tcPr>
            <w:tcW w:w="850" w:type="dxa"/>
            <w:tcBorders>
              <w:top w:val="single" w:sz="4" w:space="0" w:color="auto"/>
              <w:bottom w:val="single" w:sz="4" w:space="0" w:color="auto"/>
            </w:tcBorders>
            <w:shd w:val="clear" w:color="auto" w:fill="auto"/>
            <w:vAlign w:val="center"/>
            <w:hideMark/>
          </w:tcPr>
          <w:p w14:paraId="0273F561" w14:textId="77777777" w:rsidR="004B334D" w:rsidRPr="00C51CE2" w:rsidRDefault="004B334D" w:rsidP="007E4CDF">
            <w:pPr>
              <w:jc w:val="center"/>
              <w:rPr>
                <w:color w:val="000000" w:themeColor="text1"/>
                <w:sz w:val="16"/>
                <w:szCs w:val="16"/>
              </w:rPr>
            </w:pPr>
            <w:r w:rsidRPr="00C51CE2">
              <w:rPr>
                <w:color w:val="000000" w:themeColor="text1"/>
                <w:sz w:val="16"/>
                <w:szCs w:val="16"/>
              </w:rPr>
              <w:t>Mean</w:t>
            </w:r>
          </w:p>
        </w:tc>
        <w:tc>
          <w:tcPr>
            <w:tcW w:w="709" w:type="dxa"/>
            <w:tcBorders>
              <w:top w:val="single" w:sz="4" w:space="0" w:color="auto"/>
              <w:bottom w:val="single" w:sz="4" w:space="0" w:color="auto"/>
            </w:tcBorders>
            <w:shd w:val="clear" w:color="auto" w:fill="auto"/>
            <w:vAlign w:val="center"/>
            <w:hideMark/>
          </w:tcPr>
          <w:p w14:paraId="3599377F" w14:textId="77777777" w:rsidR="004B334D" w:rsidRPr="00C51CE2" w:rsidRDefault="004B334D" w:rsidP="007E4CDF">
            <w:pPr>
              <w:jc w:val="center"/>
              <w:rPr>
                <w:color w:val="000000" w:themeColor="text1"/>
                <w:sz w:val="16"/>
                <w:szCs w:val="16"/>
              </w:rPr>
            </w:pPr>
            <w:r w:rsidRPr="00C51CE2">
              <w:rPr>
                <w:color w:val="000000" w:themeColor="text1"/>
                <w:sz w:val="16"/>
                <w:szCs w:val="16"/>
              </w:rPr>
              <w:t>SD</w:t>
            </w:r>
          </w:p>
        </w:tc>
        <w:tc>
          <w:tcPr>
            <w:tcW w:w="1276" w:type="dxa"/>
            <w:vMerge/>
            <w:tcBorders>
              <w:top w:val="single" w:sz="4" w:space="0" w:color="auto"/>
              <w:bottom w:val="single" w:sz="4" w:space="0" w:color="auto"/>
            </w:tcBorders>
            <w:shd w:val="clear" w:color="auto" w:fill="auto"/>
            <w:vAlign w:val="center"/>
            <w:hideMark/>
          </w:tcPr>
          <w:p w14:paraId="51F2D1E3" w14:textId="77777777" w:rsidR="004B334D" w:rsidRPr="00C51CE2" w:rsidRDefault="004B334D" w:rsidP="007E4CDF">
            <w:pPr>
              <w:rPr>
                <w:color w:val="000000" w:themeColor="text1"/>
                <w:sz w:val="16"/>
                <w:szCs w:val="16"/>
              </w:rPr>
            </w:pPr>
          </w:p>
        </w:tc>
        <w:tc>
          <w:tcPr>
            <w:tcW w:w="708" w:type="dxa"/>
            <w:tcBorders>
              <w:top w:val="single" w:sz="4" w:space="0" w:color="auto"/>
              <w:bottom w:val="single" w:sz="4" w:space="0" w:color="auto"/>
            </w:tcBorders>
            <w:shd w:val="clear" w:color="auto" w:fill="auto"/>
            <w:vAlign w:val="center"/>
            <w:hideMark/>
          </w:tcPr>
          <w:p w14:paraId="6B6ADEA2" w14:textId="77777777" w:rsidR="004B334D" w:rsidRPr="00C51CE2" w:rsidRDefault="004B334D" w:rsidP="007E4CDF">
            <w:pPr>
              <w:jc w:val="center"/>
              <w:rPr>
                <w:color w:val="000000" w:themeColor="text1"/>
                <w:sz w:val="16"/>
                <w:szCs w:val="16"/>
              </w:rPr>
            </w:pPr>
            <w:r w:rsidRPr="00C51CE2">
              <w:rPr>
                <w:color w:val="000000" w:themeColor="text1"/>
                <w:sz w:val="16"/>
                <w:szCs w:val="16"/>
              </w:rPr>
              <w:t>Mean</w:t>
            </w:r>
          </w:p>
        </w:tc>
        <w:tc>
          <w:tcPr>
            <w:tcW w:w="851" w:type="dxa"/>
            <w:tcBorders>
              <w:top w:val="single" w:sz="4" w:space="0" w:color="auto"/>
              <w:bottom w:val="single" w:sz="4" w:space="0" w:color="auto"/>
            </w:tcBorders>
            <w:shd w:val="clear" w:color="auto" w:fill="auto"/>
            <w:vAlign w:val="center"/>
            <w:hideMark/>
          </w:tcPr>
          <w:p w14:paraId="7DEBDFA3" w14:textId="77777777" w:rsidR="004B334D" w:rsidRPr="00C51CE2" w:rsidRDefault="004B334D" w:rsidP="007E4CDF">
            <w:pPr>
              <w:jc w:val="center"/>
              <w:rPr>
                <w:color w:val="000000" w:themeColor="text1"/>
                <w:sz w:val="16"/>
                <w:szCs w:val="16"/>
              </w:rPr>
            </w:pPr>
            <w:r w:rsidRPr="00C51CE2">
              <w:rPr>
                <w:color w:val="000000" w:themeColor="text1"/>
                <w:sz w:val="16"/>
                <w:szCs w:val="16"/>
              </w:rPr>
              <w:t>SD</w:t>
            </w:r>
          </w:p>
        </w:tc>
        <w:tc>
          <w:tcPr>
            <w:tcW w:w="850" w:type="dxa"/>
            <w:tcBorders>
              <w:top w:val="single" w:sz="4" w:space="0" w:color="auto"/>
              <w:bottom w:val="single" w:sz="4" w:space="0" w:color="auto"/>
            </w:tcBorders>
            <w:shd w:val="clear" w:color="auto" w:fill="auto"/>
            <w:vAlign w:val="center"/>
            <w:hideMark/>
          </w:tcPr>
          <w:p w14:paraId="5CEF7AE8" w14:textId="77777777" w:rsidR="004B334D" w:rsidRPr="00C51CE2" w:rsidRDefault="004B334D" w:rsidP="007E4CDF">
            <w:pPr>
              <w:jc w:val="center"/>
              <w:rPr>
                <w:color w:val="000000" w:themeColor="text1"/>
                <w:sz w:val="16"/>
                <w:szCs w:val="16"/>
              </w:rPr>
            </w:pPr>
            <w:r w:rsidRPr="00C51CE2">
              <w:rPr>
                <w:color w:val="000000" w:themeColor="text1"/>
                <w:sz w:val="16"/>
                <w:szCs w:val="16"/>
              </w:rPr>
              <w:t>Mean</w:t>
            </w:r>
          </w:p>
        </w:tc>
        <w:tc>
          <w:tcPr>
            <w:tcW w:w="709" w:type="dxa"/>
            <w:tcBorders>
              <w:top w:val="single" w:sz="4" w:space="0" w:color="auto"/>
              <w:bottom w:val="single" w:sz="4" w:space="0" w:color="auto"/>
            </w:tcBorders>
            <w:shd w:val="clear" w:color="auto" w:fill="auto"/>
            <w:vAlign w:val="center"/>
            <w:hideMark/>
          </w:tcPr>
          <w:p w14:paraId="6A4AF883" w14:textId="77777777" w:rsidR="004B334D" w:rsidRPr="00C51CE2" w:rsidRDefault="004B334D" w:rsidP="007E4CDF">
            <w:pPr>
              <w:jc w:val="center"/>
              <w:rPr>
                <w:color w:val="000000" w:themeColor="text1"/>
                <w:sz w:val="16"/>
                <w:szCs w:val="16"/>
              </w:rPr>
            </w:pPr>
            <w:r w:rsidRPr="00C51CE2">
              <w:rPr>
                <w:color w:val="000000" w:themeColor="text1"/>
                <w:sz w:val="16"/>
                <w:szCs w:val="16"/>
              </w:rPr>
              <w:t>SD</w:t>
            </w:r>
          </w:p>
        </w:tc>
        <w:tc>
          <w:tcPr>
            <w:tcW w:w="1134" w:type="dxa"/>
            <w:vMerge/>
            <w:tcBorders>
              <w:bottom w:val="single" w:sz="4" w:space="0" w:color="auto"/>
            </w:tcBorders>
            <w:shd w:val="clear" w:color="auto" w:fill="auto"/>
            <w:vAlign w:val="center"/>
            <w:hideMark/>
          </w:tcPr>
          <w:p w14:paraId="592C9873" w14:textId="77777777" w:rsidR="004B334D" w:rsidRPr="00C51CE2" w:rsidRDefault="004B334D" w:rsidP="007E4CDF">
            <w:pPr>
              <w:rPr>
                <w:color w:val="000000" w:themeColor="text1"/>
                <w:sz w:val="16"/>
                <w:szCs w:val="16"/>
              </w:rPr>
            </w:pPr>
          </w:p>
        </w:tc>
        <w:tc>
          <w:tcPr>
            <w:tcW w:w="709" w:type="dxa"/>
            <w:tcBorders>
              <w:top w:val="single" w:sz="4" w:space="0" w:color="auto"/>
              <w:bottom w:val="single" w:sz="4" w:space="0" w:color="auto"/>
            </w:tcBorders>
            <w:vAlign w:val="center"/>
          </w:tcPr>
          <w:p w14:paraId="1EE14BF8" w14:textId="77777777" w:rsidR="004B334D" w:rsidRPr="00C51CE2" w:rsidRDefault="004B334D" w:rsidP="007E4CDF">
            <w:pPr>
              <w:rPr>
                <w:color w:val="000000" w:themeColor="text1"/>
                <w:sz w:val="16"/>
                <w:szCs w:val="16"/>
              </w:rPr>
            </w:pPr>
            <w:r w:rsidRPr="00C51CE2">
              <w:rPr>
                <w:color w:val="000000" w:themeColor="text1"/>
                <w:sz w:val="16"/>
                <w:szCs w:val="16"/>
              </w:rPr>
              <w:t>Mean</w:t>
            </w:r>
          </w:p>
        </w:tc>
        <w:tc>
          <w:tcPr>
            <w:tcW w:w="709" w:type="dxa"/>
            <w:tcBorders>
              <w:top w:val="single" w:sz="4" w:space="0" w:color="auto"/>
              <w:bottom w:val="single" w:sz="4" w:space="0" w:color="auto"/>
            </w:tcBorders>
            <w:vAlign w:val="center"/>
          </w:tcPr>
          <w:p w14:paraId="442C3AEA" w14:textId="77777777" w:rsidR="004B334D" w:rsidRPr="00C51CE2" w:rsidRDefault="004B334D" w:rsidP="007E4CDF">
            <w:pPr>
              <w:rPr>
                <w:color w:val="000000" w:themeColor="text1"/>
                <w:sz w:val="16"/>
                <w:szCs w:val="16"/>
              </w:rPr>
            </w:pPr>
            <w:r w:rsidRPr="00C51CE2">
              <w:rPr>
                <w:color w:val="000000" w:themeColor="text1"/>
                <w:sz w:val="16"/>
                <w:szCs w:val="16"/>
              </w:rPr>
              <w:t>SD</w:t>
            </w:r>
          </w:p>
        </w:tc>
        <w:tc>
          <w:tcPr>
            <w:tcW w:w="708" w:type="dxa"/>
            <w:tcBorders>
              <w:top w:val="single" w:sz="4" w:space="0" w:color="auto"/>
              <w:bottom w:val="single" w:sz="4" w:space="0" w:color="auto"/>
            </w:tcBorders>
            <w:vAlign w:val="center"/>
          </w:tcPr>
          <w:p w14:paraId="6FDD0A55" w14:textId="77777777" w:rsidR="004B334D" w:rsidRPr="00C51CE2" w:rsidRDefault="004B334D" w:rsidP="007E4CDF">
            <w:pPr>
              <w:rPr>
                <w:color w:val="000000" w:themeColor="text1"/>
                <w:sz w:val="16"/>
                <w:szCs w:val="16"/>
              </w:rPr>
            </w:pPr>
            <w:r w:rsidRPr="00C51CE2">
              <w:rPr>
                <w:color w:val="000000" w:themeColor="text1"/>
                <w:sz w:val="16"/>
                <w:szCs w:val="16"/>
              </w:rPr>
              <w:t>Mean</w:t>
            </w:r>
          </w:p>
        </w:tc>
        <w:tc>
          <w:tcPr>
            <w:tcW w:w="709" w:type="dxa"/>
            <w:tcBorders>
              <w:top w:val="single" w:sz="4" w:space="0" w:color="auto"/>
              <w:bottom w:val="single" w:sz="4" w:space="0" w:color="auto"/>
            </w:tcBorders>
            <w:vAlign w:val="center"/>
          </w:tcPr>
          <w:p w14:paraId="0DE24B3B" w14:textId="77777777" w:rsidR="004B334D" w:rsidRPr="00C51CE2" w:rsidRDefault="004B334D" w:rsidP="007E4CDF">
            <w:pPr>
              <w:rPr>
                <w:color w:val="000000" w:themeColor="text1"/>
                <w:sz w:val="16"/>
                <w:szCs w:val="16"/>
              </w:rPr>
            </w:pPr>
            <w:r w:rsidRPr="00C51CE2">
              <w:rPr>
                <w:color w:val="000000" w:themeColor="text1"/>
                <w:sz w:val="16"/>
                <w:szCs w:val="16"/>
              </w:rPr>
              <w:t>SD</w:t>
            </w:r>
          </w:p>
        </w:tc>
        <w:tc>
          <w:tcPr>
            <w:tcW w:w="851" w:type="dxa"/>
            <w:tcBorders>
              <w:top w:val="single" w:sz="4" w:space="0" w:color="auto"/>
              <w:bottom w:val="single" w:sz="4" w:space="0" w:color="auto"/>
            </w:tcBorders>
          </w:tcPr>
          <w:p w14:paraId="3D6CBCB9" w14:textId="77777777" w:rsidR="004B334D" w:rsidRPr="00C51CE2" w:rsidRDefault="004B334D" w:rsidP="007E4CDF">
            <w:pPr>
              <w:rPr>
                <w:color w:val="000000" w:themeColor="text1"/>
                <w:sz w:val="16"/>
                <w:szCs w:val="16"/>
              </w:rPr>
            </w:pPr>
          </w:p>
        </w:tc>
      </w:tr>
      <w:tr w:rsidR="004B334D" w:rsidRPr="00C51CE2" w14:paraId="1F43DAF7" w14:textId="77777777" w:rsidTr="007E4CDF">
        <w:trPr>
          <w:trHeight w:val="736"/>
        </w:trPr>
        <w:tc>
          <w:tcPr>
            <w:tcW w:w="959" w:type="dxa"/>
            <w:tcBorders>
              <w:top w:val="single" w:sz="4" w:space="0" w:color="auto"/>
              <w:bottom w:val="single" w:sz="4" w:space="0" w:color="auto"/>
            </w:tcBorders>
            <w:shd w:val="clear" w:color="auto" w:fill="auto"/>
            <w:hideMark/>
          </w:tcPr>
          <w:p w14:paraId="42BE4D0F" w14:textId="77777777" w:rsidR="004B334D" w:rsidRPr="00C51CE2" w:rsidRDefault="004B334D" w:rsidP="007E4CDF">
            <w:pPr>
              <w:jc w:val="center"/>
              <w:rPr>
                <w:color w:val="000000" w:themeColor="text1"/>
                <w:sz w:val="16"/>
                <w:szCs w:val="16"/>
              </w:rPr>
            </w:pPr>
            <w:r w:rsidRPr="00C51CE2">
              <w:rPr>
                <w:color w:val="000000" w:themeColor="text1"/>
                <w:sz w:val="16"/>
                <w:szCs w:val="16"/>
              </w:rPr>
              <w:t>CI</w:t>
            </w:r>
          </w:p>
        </w:tc>
        <w:tc>
          <w:tcPr>
            <w:tcW w:w="851" w:type="dxa"/>
            <w:tcBorders>
              <w:top w:val="single" w:sz="4" w:space="0" w:color="auto"/>
              <w:bottom w:val="single" w:sz="4" w:space="0" w:color="auto"/>
            </w:tcBorders>
            <w:shd w:val="clear" w:color="auto" w:fill="auto"/>
            <w:hideMark/>
          </w:tcPr>
          <w:p w14:paraId="199F1177" w14:textId="77777777" w:rsidR="004B334D" w:rsidRPr="00C51CE2" w:rsidRDefault="004B334D" w:rsidP="007E4CDF">
            <w:pPr>
              <w:jc w:val="center"/>
              <w:rPr>
                <w:color w:val="000000" w:themeColor="text1"/>
                <w:sz w:val="16"/>
                <w:szCs w:val="16"/>
              </w:rPr>
            </w:pPr>
            <w:r w:rsidRPr="00C51CE2">
              <w:rPr>
                <w:color w:val="000000" w:themeColor="text1"/>
                <w:sz w:val="16"/>
                <w:szCs w:val="16"/>
              </w:rPr>
              <w:t>60.57</w:t>
            </w:r>
          </w:p>
        </w:tc>
        <w:tc>
          <w:tcPr>
            <w:tcW w:w="709" w:type="dxa"/>
            <w:tcBorders>
              <w:top w:val="single" w:sz="4" w:space="0" w:color="auto"/>
              <w:bottom w:val="single" w:sz="4" w:space="0" w:color="auto"/>
            </w:tcBorders>
            <w:shd w:val="clear" w:color="auto" w:fill="auto"/>
            <w:hideMark/>
          </w:tcPr>
          <w:p w14:paraId="066DD3FB" w14:textId="77777777" w:rsidR="004B334D" w:rsidRPr="00C51CE2" w:rsidRDefault="004B334D" w:rsidP="007E4CDF">
            <w:pPr>
              <w:jc w:val="center"/>
              <w:rPr>
                <w:color w:val="000000" w:themeColor="text1"/>
                <w:sz w:val="16"/>
                <w:szCs w:val="16"/>
              </w:rPr>
            </w:pPr>
            <w:r w:rsidRPr="00C51CE2">
              <w:rPr>
                <w:color w:val="000000" w:themeColor="text1"/>
                <w:sz w:val="16"/>
                <w:szCs w:val="16"/>
              </w:rPr>
              <w:t>14.99</w:t>
            </w:r>
          </w:p>
        </w:tc>
        <w:tc>
          <w:tcPr>
            <w:tcW w:w="850" w:type="dxa"/>
            <w:tcBorders>
              <w:top w:val="single" w:sz="4" w:space="0" w:color="auto"/>
              <w:bottom w:val="single" w:sz="4" w:space="0" w:color="auto"/>
            </w:tcBorders>
            <w:shd w:val="clear" w:color="auto" w:fill="auto"/>
            <w:hideMark/>
          </w:tcPr>
          <w:p w14:paraId="3E69FE2E" w14:textId="77777777" w:rsidR="004B334D" w:rsidRPr="00C51CE2" w:rsidRDefault="004B334D" w:rsidP="007E4CDF">
            <w:pPr>
              <w:jc w:val="center"/>
              <w:rPr>
                <w:color w:val="000000" w:themeColor="text1"/>
                <w:sz w:val="16"/>
                <w:szCs w:val="16"/>
              </w:rPr>
            </w:pPr>
            <w:r w:rsidRPr="00C51CE2">
              <w:rPr>
                <w:color w:val="000000" w:themeColor="text1"/>
                <w:sz w:val="16"/>
                <w:szCs w:val="16"/>
              </w:rPr>
              <w:t>62.66</w:t>
            </w:r>
          </w:p>
        </w:tc>
        <w:tc>
          <w:tcPr>
            <w:tcW w:w="709" w:type="dxa"/>
            <w:tcBorders>
              <w:top w:val="single" w:sz="4" w:space="0" w:color="auto"/>
              <w:bottom w:val="single" w:sz="4" w:space="0" w:color="auto"/>
            </w:tcBorders>
            <w:shd w:val="clear" w:color="auto" w:fill="auto"/>
            <w:hideMark/>
          </w:tcPr>
          <w:p w14:paraId="0348F4D2" w14:textId="77777777" w:rsidR="004B334D" w:rsidRPr="00C51CE2" w:rsidRDefault="004B334D" w:rsidP="007E4CDF">
            <w:pPr>
              <w:jc w:val="center"/>
              <w:rPr>
                <w:color w:val="000000" w:themeColor="text1"/>
                <w:sz w:val="16"/>
                <w:szCs w:val="16"/>
              </w:rPr>
            </w:pPr>
            <w:r w:rsidRPr="00C51CE2">
              <w:rPr>
                <w:color w:val="000000" w:themeColor="text1"/>
                <w:sz w:val="16"/>
                <w:szCs w:val="16"/>
              </w:rPr>
              <w:t>11.99</w:t>
            </w:r>
          </w:p>
        </w:tc>
        <w:tc>
          <w:tcPr>
            <w:tcW w:w="1276" w:type="dxa"/>
            <w:tcBorders>
              <w:top w:val="single" w:sz="4" w:space="0" w:color="auto"/>
              <w:bottom w:val="single" w:sz="4" w:space="0" w:color="auto"/>
            </w:tcBorders>
            <w:shd w:val="clear" w:color="auto" w:fill="auto"/>
            <w:hideMark/>
          </w:tcPr>
          <w:p w14:paraId="20E4C20E" w14:textId="77777777" w:rsidR="004B334D" w:rsidRPr="00C51CE2" w:rsidRDefault="004B334D" w:rsidP="007E4CDF">
            <w:pPr>
              <w:rPr>
                <w:color w:val="000000" w:themeColor="text1"/>
                <w:sz w:val="16"/>
                <w:szCs w:val="16"/>
              </w:rPr>
            </w:pPr>
            <w:r w:rsidRPr="00C51CE2">
              <w:rPr>
                <w:color w:val="000000" w:themeColor="text1"/>
                <w:sz w:val="16"/>
                <w:szCs w:val="16"/>
              </w:rPr>
              <w:t>t=-.962;</w:t>
            </w:r>
            <w:r w:rsidRPr="00C51CE2">
              <w:rPr>
                <w:color w:val="000000" w:themeColor="text1"/>
                <w:sz w:val="16"/>
                <w:szCs w:val="16"/>
              </w:rPr>
              <w:br/>
              <w:t>Sig. (2-tailed) =.338 (p&gt;.05)</w:t>
            </w:r>
          </w:p>
        </w:tc>
        <w:tc>
          <w:tcPr>
            <w:tcW w:w="708" w:type="dxa"/>
            <w:tcBorders>
              <w:top w:val="single" w:sz="4" w:space="0" w:color="auto"/>
              <w:bottom w:val="single" w:sz="4" w:space="0" w:color="auto"/>
            </w:tcBorders>
            <w:shd w:val="clear" w:color="auto" w:fill="auto"/>
            <w:hideMark/>
          </w:tcPr>
          <w:p w14:paraId="02F55B8C" w14:textId="77777777" w:rsidR="004B334D" w:rsidRPr="00C51CE2" w:rsidRDefault="004B334D" w:rsidP="007E4CDF">
            <w:pPr>
              <w:jc w:val="center"/>
              <w:rPr>
                <w:color w:val="000000" w:themeColor="text1"/>
                <w:sz w:val="16"/>
                <w:szCs w:val="16"/>
              </w:rPr>
            </w:pPr>
            <w:r w:rsidRPr="00C51CE2">
              <w:rPr>
                <w:color w:val="000000" w:themeColor="text1"/>
                <w:sz w:val="16"/>
                <w:szCs w:val="16"/>
              </w:rPr>
              <w:t>59.70</w:t>
            </w:r>
          </w:p>
        </w:tc>
        <w:tc>
          <w:tcPr>
            <w:tcW w:w="851" w:type="dxa"/>
            <w:tcBorders>
              <w:top w:val="single" w:sz="4" w:space="0" w:color="auto"/>
              <w:bottom w:val="single" w:sz="4" w:space="0" w:color="auto"/>
            </w:tcBorders>
            <w:shd w:val="clear" w:color="auto" w:fill="auto"/>
            <w:hideMark/>
          </w:tcPr>
          <w:p w14:paraId="19C5C6C7" w14:textId="77777777" w:rsidR="004B334D" w:rsidRPr="00C51CE2" w:rsidRDefault="004B334D" w:rsidP="007E4CDF">
            <w:pPr>
              <w:jc w:val="center"/>
              <w:rPr>
                <w:color w:val="000000" w:themeColor="text1"/>
                <w:sz w:val="16"/>
                <w:szCs w:val="16"/>
              </w:rPr>
            </w:pPr>
            <w:r w:rsidRPr="00C51CE2">
              <w:rPr>
                <w:color w:val="000000" w:themeColor="text1"/>
                <w:sz w:val="16"/>
                <w:szCs w:val="16"/>
              </w:rPr>
              <w:t>14.99</w:t>
            </w:r>
          </w:p>
        </w:tc>
        <w:tc>
          <w:tcPr>
            <w:tcW w:w="850" w:type="dxa"/>
            <w:tcBorders>
              <w:top w:val="single" w:sz="4" w:space="0" w:color="auto"/>
              <w:bottom w:val="single" w:sz="4" w:space="0" w:color="auto"/>
            </w:tcBorders>
            <w:shd w:val="clear" w:color="auto" w:fill="auto"/>
            <w:hideMark/>
          </w:tcPr>
          <w:p w14:paraId="53678D9F" w14:textId="77777777" w:rsidR="004B334D" w:rsidRPr="00C51CE2" w:rsidRDefault="004B334D" w:rsidP="007E4CDF">
            <w:pPr>
              <w:jc w:val="center"/>
              <w:rPr>
                <w:color w:val="000000" w:themeColor="text1"/>
                <w:sz w:val="16"/>
                <w:szCs w:val="16"/>
              </w:rPr>
            </w:pPr>
            <w:r w:rsidRPr="00C51CE2">
              <w:rPr>
                <w:color w:val="000000" w:themeColor="text1"/>
                <w:sz w:val="16"/>
                <w:szCs w:val="16"/>
              </w:rPr>
              <w:t>59.58</w:t>
            </w:r>
          </w:p>
        </w:tc>
        <w:tc>
          <w:tcPr>
            <w:tcW w:w="709" w:type="dxa"/>
            <w:tcBorders>
              <w:top w:val="single" w:sz="4" w:space="0" w:color="auto"/>
              <w:bottom w:val="single" w:sz="4" w:space="0" w:color="auto"/>
            </w:tcBorders>
            <w:shd w:val="clear" w:color="auto" w:fill="auto"/>
            <w:hideMark/>
          </w:tcPr>
          <w:p w14:paraId="46B0E8A0" w14:textId="77777777" w:rsidR="004B334D" w:rsidRPr="00C51CE2" w:rsidRDefault="004B334D" w:rsidP="007E4CDF">
            <w:pPr>
              <w:jc w:val="center"/>
              <w:rPr>
                <w:color w:val="000000" w:themeColor="text1"/>
                <w:sz w:val="16"/>
                <w:szCs w:val="16"/>
              </w:rPr>
            </w:pPr>
            <w:r w:rsidRPr="00C51CE2">
              <w:rPr>
                <w:color w:val="000000" w:themeColor="text1"/>
                <w:sz w:val="16"/>
                <w:szCs w:val="16"/>
              </w:rPr>
              <w:t>11.99</w:t>
            </w:r>
          </w:p>
        </w:tc>
        <w:tc>
          <w:tcPr>
            <w:tcW w:w="1134" w:type="dxa"/>
            <w:tcBorders>
              <w:top w:val="single" w:sz="4" w:space="0" w:color="auto"/>
              <w:bottom w:val="single" w:sz="4" w:space="0" w:color="auto"/>
            </w:tcBorders>
            <w:shd w:val="clear" w:color="auto" w:fill="auto"/>
            <w:hideMark/>
          </w:tcPr>
          <w:p w14:paraId="0BD91021" w14:textId="77777777" w:rsidR="004B334D" w:rsidRPr="00C51CE2" w:rsidRDefault="004B334D" w:rsidP="007E4CDF">
            <w:pPr>
              <w:rPr>
                <w:color w:val="000000" w:themeColor="text1"/>
                <w:sz w:val="16"/>
                <w:szCs w:val="16"/>
              </w:rPr>
            </w:pPr>
            <w:r w:rsidRPr="00C51CE2">
              <w:rPr>
                <w:color w:val="000000" w:themeColor="text1"/>
                <w:sz w:val="16"/>
                <w:szCs w:val="16"/>
              </w:rPr>
              <w:t>t=.043;</w:t>
            </w:r>
            <w:r w:rsidRPr="00C51CE2">
              <w:rPr>
                <w:color w:val="000000" w:themeColor="text1"/>
                <w:sz w:val="16"/>
                <w:szCs w:val="16"/>
              </w:rPr>
              <w:br/>
              <w:t>Sig. (2 tailed)= .966 (p&gt;.05)</w:t>
            </w:r>
          </w:p>
        </w:tc>
        <w:tc>
          <w:tcPr>
            <w:tcW w:w="709" w:type="dxa"/>
            <w:tcBorders>
              <w:top w:val="single" w:sz="4" w:space="0" w:color="auto"/>
            </w:tcBorders>
          </w:tcPr>
          <w:p w14:paraId="214C78D7" w14:textId="77777777" w:rsidR="004B334D" w:rsidRPr="00C51CE2" w:rsidRDefault="004B334D" w:rsidP="007E4CDF">
            <w:pPr>
              <w:rPr>
                <w:color w:val="000000" w:themeColor="text1"/>
                <w:sz w:val="16"/>
                <w:szCs w:val="16"/>
              </w:rPr>
            </w:pPr>
            <w:r w:rsidRPr="00C51CE2">
              <w:rPr>
                <w:color w:val="000000" w:themeColor="text1"/>
                <w:sz w:val="16"/>
                <w:szCs w:val="16"/>
              </w:rPr>
              <w:t>59.63</w:t>
            </w:r>
          </w:p>
        </w:tc>
        <w:tc>
          <w:tcPr>
            <w:tcW w:w="709" w:type="dxa"/>
            <w:tcBorders>
              <w:top w:val="single" w:sz="4" w:space="0" w:color="auto"/>
            </w:tcBorders>
          </w:tcPr>
          <w:p w14:paraId="0DC48216" w14:textId="77777777" w:rsidR="004B334D" w:rsidRPr="00C51CE2" w:rsidRDefault="004B334D" w:rsidP="007E4CDF">
            <w:pPr>
              <w:rPr>
                <w:color w:val="000000" w:themeColor="text1"/>
                <w:sz w:val="16"/>
                <w:szCs w:val="16"/>
              </w:rPr>
            </w:pPr>
            <w:r w:rsidRPr="00C51CE2">
              <w:rPr>
                <w:color w:val="000000" w:themeColor="text1"/>
                <w:sz w:val="16"/>
                <w:szCs w:val="16"/>
              </w:rPr>
              <w:t>13.08</w:t>
            </w:r>
          </w:p>
        </w:tc>
        <w:tc>
          <w:tcPr>
            <w:tcW w:w="708" w:type="dxa"/>
            <w:tcBorders>
              <w:top w:val="single" w:sz="4" w:space="0" w:color="auto"/>
            </w:tcBorders>
          </w:tcPr>
          <w:p w14:paraId="46BF3F63" w14:textId="77777777" w:rsidR="004B334D" w:rsidRPr="00C51CE2" w:rsidRDefault="004B334D" w:rsidP="007E4CDF">
            <w:pPr>
              <w:rPr>
                <w:color w:val="000000" w:themeColor="text1"/>
                <w:sz w:val="16"/>
                <w:szCs w:val="16"/>
              </w:rPr>
            </w:pPr>
            <w:r w:rsidRPr="00C51CE2">
              <w:rPr>
                <w:color w:val="000000" w:themeColor="text1"/>
                <w:sz w:val="16"/>
                <w:szCs w:val="16"/>
              </w:rPr>
              <w:t>61.51</w:t>
            </w:r>
          </w:p>
        </w:tc>
        <w:tc>
          <w:tcPr>
            <w:tcW w:w="709" w:type="dxa"/>
            <w:tcBorders>
              <w:top w:val="single" w:sz="4" w:space="0" w:color="auto"/>
            </w:tcBorders>
          </w:tcPr>
          <w:p w14:paraId="31EF980D" w14:textId="77777777" w:rsidR="004B334D" w:rsidRPr="00C51CE2" w:rsidRDefault="004B334D" w:rsidP="007E4CDF">
            <w:pPr>
              <w:rPr>
                <w:color w:val="000000" w:themeColor="text1"/>
                <w:sz w:val="16"/>
                <w:szCs w:val="16"/>
              </w:rPr>
            </w:pPr>
            <w:r w:rsidRPr="00C51CE2">
              <w:rPr>
                <w:color w:val="000000" w:themeColor="text1"/>
                <w:sz w:val="16"/>
                <w:szCs w:val="16"/>
              </w:rPr>
              <w:t>13.72</w:t>
            </w:r>
          </w:p>
        </w:tc>
        <w:tc>
          <w:tcPr>
            <w:tcW w:w="851" w:type="dxa"/>
            <w:tcBorders>
              <w:top w:val="single" w:sz="4" w:space="0" w:color="auto"/>
            </w:tcBorders>
          </w:tcPr>
          <w:p w14:paraId="4FA8F174" w14:textId="77777777" w:rsidR="004B334D" w:rsidRPr="00C51CE2" w:rsidRDefault="004B334D" w:rsidP="007E4CDF">
            <w:pPr>
              <w:rPr>
                <w:color w:val="000000" w:themeColor="text1"/>
                <w:sz w:val="16"/>
                <w:szCs w:val="16"/>
              </w:rPr>
            </w:pPr>
            <w:r w:rsidRPr="00C51CE2">
              <w:rPr>
                <w:color w:val="000000" w:themeColor="text1"/>
                <w:sz w:val="16"/>
                <w:szCs w:val="16"/>
              </w:rPr>
              <w:t>t=1.036</w:t>
            </w:r>
            <w:r w:rsidRPr="00C51CE2">
              <w:rPr>
                <w:color w:val="000000" w:themeColor="text1"/>
                <w:sz w:val="16"/>
                <w:szCs w:val="16"/>
              </w:rPr>
              <w:br/>
              <w:t>Sig. (2-tailed)= .301; (p&gt;.05)</w:t>
            </w:r>
          </w:p>
        </w:tc>
      </w:tr>
      <w:tr w:rsidR="004B334D" w:rsidRPr="00C51CE2" w14:paraId="435BC524" w14:textId="77777777" w:rsidTr="007E4CDF">
        <w:trPr>
          <w:trHeight w:val="802"/>
        </w:trPr>
        <w:tc>
          <w:tcPr>
            <w:tcW w:w="959" w:type="dxa"/>
            <w:tcBorders>
              <w:top w:val="single" w:sz="4" w:space="0" w:color="auto"/>
              <w:bottom w:val="single" w:sz="4" w:space="0" w:color="auto"/>
            </w:tcBorders>
            <w:shd w:val="clear" w:color="auto" w:fill="auto"/>
            <w:hideMark/>
          </w:tcPr>
          <w:p w14:paraId="0933F7D2" w14:textId="77777777" w:rsidR="004B334D" w:rsidRPr="00C51CE2" w:rsidRDefault="004B334D" w:rsidP="007E4CDF">
            <w:pPr>
              <w:snapToGrid w:val="0"/>
              <w:contextualSpacing/>
              <w:jc w:val="center"/>
              <w:rPr>
                <w:color w:val="000000" w:themeColor="text1"/>
                <w:sz w:val="16"/>
                <w:szCs w:val="16"/>
              </w:rPr>
            </w:pPr>
            <w:r w:rsidRPr="00C51CE2">
              <w:rPr>
                <w:color w:val="000000" w:themeColor="text1"/>
                <w:sz w:val="16"/>
                <w:szCs w:val="16"/>
              </w:rPr>
              <w:t>C</w:t>
            </w:r>
          </w:p>
        </w:tc>
        <w:tc>
          <w:tcPr>
            <w:tcW w:w="851" w:type="dxa"/>
            <w:tcBorders>
              <w:top w:val="single" w:sz="4" w:space="0" w:color="auto"/>
              <w:bottom w:val="single" w:sz="4" w:space="0" w:color="auto"/>
            </w:tcBorders>
            <w:shd w:val="clear" w:color="auto" w:fill="auto"/>
            <w:hideMark/>
          </w:tcPr>
          <w:p w14:paraId="29B6EEB5" w14:textId="77777777" w:rsidR="004B334D" w:rsidRPr="00C51CE2" w:rsidRDefault="004B334D" w:rsidP="007E4CDF">
            <w:pPr>
              <w:snapToGrid w:val="0"/>
              <w:contextualSpacing/>
              <w:jc w:val="center"/>
              <w:rPr>
                <w:color w:val="000000" w:themeColor="text1"/>
                <w:sz w:val="16"/>
                <w:szCs w:val="16"/>
              </w:rPr>
            </w:pPr>
            <w:r w:rsidRPr="00C51CE2">
              <w:rPr>
                <w:color w:val="000000" w:themeColor="text1"/>
                <w:sz w:val="16"/>
                <w:szCs w:val="16"/>
              </w:rPr>
              <w:t>45.10</w:t>
            </w:r>
          </w:p>
        </w:tc>
        <w:tc>
          <w:tcPr>
            <w:tcW w:w="709" w:type="dxa"/>
            <w:tcBorders>
              <w:top w:val="single" w:sz="4" w:space="0" w:color="auto"/>
              <w:bottom w:val="single" w:sz="4" w:space="0" w:color="auto"/>
            </w:tcBorders>
            <w:shd w:val="clear" w:color="auto" w:fill="auto"/>
            <w:hideMark/>
          </w:tcPr>
          <w:p w14:paraId="69F0712A" w14:textId="77777777" w:rsidR="004B334D" w:rsidRPr="00C51CE2" w:rsidRDefault="004B334D" w:rsidP="007E4CDF">
            <w:pPr>
              <w:snapToGrid w:val="0"/>
              <w:contextualSpacing/>
              <w:jc w:val="center"/>
              <w:rPr>
                <w:color w:val="000000" w:themeColor="text1"/>
                <w:sz w:val="16"/>
                <w:szCs w:val="16"/>
              </w:rPr>
            </w:pPr>
            <w:r w:rsidRPr="00C51CE2">
              <w:rPr>
                <w:color w:val="000000" w:themeColor="text1"/>
                <w:sz w:val="16"/>
                <w:szCs w:val="16"/>
              </w:rPr>
              <w:t>10.77</w:t>
            </w:r>
          </w:p>
        </w:tc>
        <w:tc>
          <w:tcPr>
            <w:tcW w:w="850" w:type="dxa"/>
            <w:tcBorders>
              <w:top w:val="single" w:sz="4" w:space="0" w:color="auto"/>
              <w:bottom w:val="single" w:sz="4" w:space="0" w:color="auto"/>
            </w:tcBorders>
            <w:shd w:val="clear" w:color="auto" w:fill="auto"/>
            <w:hideMark/>
          </w:tcPr>
          <w:p w14:paraId="4832492D" w14:textId="77777777" w:rsidR="004B334D" w:rsidRPr="00C51CE2" w:rsidRDefault="004B334D" w:rsidP="007E4CDF">
            <w:pPr>
              <w:snapToGrid w:val="0"/>
              <w:contextualSpacing/>
              <w:jc w:val="center"/>
              <w:rPr>
                <w:color w:val="000000" w:themeColor="text1"/>
                <w:sz w:val="16"/>
                <w:szCs w:val="16"/>
              </w:rPr>
            </w:pPr>
            <w:r w:rsidRPr="00C51CE2">
              <w:rPr>
                <w:color w:val="000000" w:themeColor="text1"/>
                <w:sz w:val="16"/>
                <w:szCs w:val="16"/>
              </w:rPr>
              <w:t>46.36</w:t>
            </w:r>
          </w:p>
        </w:tc>
        <w:tc>
          <w:tcPr>
            <w:tcW w:w="709" w:type="dxa"/>
            <w:tcBorders>
              <w:top w:val="single" w:sz="4" w:space="0" w:color="auto"/>
              <w:bottom w:val="single" w:sz="4" w:space="0" w:color="auto"/>
            </w:tcBorders>
            <w:shd w:val="clear" w:color="auto" w:fill="auto"/>
            <w:hideMark/>
          </w:tcPr>
          <w:p w14:paraId="4C2E12EC" w14:textId="77777777" w:rsidR="004B334D" w:rsidRPr="00C51CE2" w:rsidRDefault="004B334D" w:rsidP="007E4CDF">
            <w:pPr>
              <w:snapToGrid w:val="0"/>
              <w:contextualSpacing/>
              <w:jc w:val="center"/>
              <w:rPr>
                <w:color w:val="000000" w:themeColor="text1"/>
                <w:sz w:val="16"/>
                <w:szCs w:val="16"/>
              </w:rPr>
            </w:pPr>
            <w:r w:rsidRPr="00C51CE2">
              <w:rPr>
                <w:color w:val="000000" w:themeColor="text1"/>
                <w:sz w:val="16"/>
                <w:szCs w:val="16"/>
              </w:rPr>
              <w:t>9.61</w:t>
            </w:r>
          </w:p>
        </w:tc>
        <w:tc>
          <w:tcPr>
            <w:tcW w:w="1276" w:type="dxa"/>
            <w:tcBorders>
              <w:top w:val="single" w:sz="4" w:space="0" w:color="auto"/>
              <w:bottom w:val="single" w:sz="4" w:space="0" w:color="auto"/>
            </w:tcBorders>
            <w:shd w:val="clear" w:color="auto" w:fill="auto"/>
            <w:hideMark/>
          </w:tcPr>
          <w:p w14:paraId="1E98BDD4" w14:textId="77777777" w:rsidR="004B334D" w:rsidRPr="00C51CE2" w:rsidRDefault="004B334D" w:rsidP="007E4CDF">
            <w:pPr>
              <w:snapToGrid w:val="0"/>
              <w:contextualSpacing/>
              <w:rPr>
                <w:color w:val="000000" w:themeColor="text1"/>
                <w:sz w:val="16"/>
                <w:szCs w:val="16"/>
              </w:rPr>
            </w:pPr>
            <w:r w:rsidRPr="00C51CE2">
              <w:rPr>
                <w:color w:val="000000" w:themeColor="text1"/>
                <w:sz w:val="16"/>
                <w:szCs w:val="16"/>
              </w:rPr>
              <w:t>t=-.774 Sig. (2-tailed) = .440 (p&gt;.05)</w:t>
            </w:r>
          </w:p>
        </w:tc>
        <w:tc>
          <w:tcPr>
            <w:tcW w:w="708" w:type="dxa"/>
            <w:tcBorders>
              <w:top w:val="single" w:sz="4" w:space="0" w:color="auto"/>
              <w:bottom w:val="single" w:sz="4" w:space="0" w:color="auto"/>
            </w:tcBorders>
            <w:shd w:val="clear" w:color="auto" w:fill="auto"/>
            <w:hideMark/>
          </w:tcPr>
          <w:p w14:paraId="64B73C8A" w14:textId="77777777" w:rsidR="004B334D" w:rsidRPr="00C51CE2" w:rsidRDefault="004B334D" w:rsidP="007E4CDF">
            <w:pPr>
              <w:snapToGrid w:val="0"/>
              <w:contextualSpacing/>
              <w:jc w:val="center"/>
              <w:rPr>
                <w:color w:val="000000" w:themeColor="text1"/>
                <w:sz w:val="16"/>
                <w:szCs w:val="16"/>
              </w:rPr>
            </w:pPr>
            <w:r w:rsidRPr="00C51CE2">
              <w:rPr>
                <w:color w:val="000000" w:themeColor="text1"/>
                <w:sz w:val="16"/>
                <w:szCs w:val="16"/>
              </w:rPr>
              <w:t>43.70</w:t>
            </w:r>
          </w:p>
        </w:tc>
        <w:tc>
          <w:tcPr>
            <w:tcW w:w="851" w:type="dxa"/>
            <w:tcBorders>
              <w:top w:val="single" w:sz="4" w:space="0" w:color="auto"/>
              <w:bottom w:val="single" w:sz="4" w:space="0" w:color="auto"/>
            </w:tcBorders>
            <w:shd w:val="clear" w:color="auto" w:fill="auto"/>
            <w:hideMark/>
          </w:tcPr>
          <w:p w14:paraId="649A61C2" w14:textId="77777777" w:rsidR="004B334D" w:rsidRPr="00C51CE2" w:rsidRDefault="004B334D" w:rsidP="007E4CDF">
            <w:pPr>
              <w:snapToGrid w:val="0"/>
              <w:contextualSpacing/>
              <w:jc w:val="center"/>
              <w:rPr>
                <w:color w:val="000000" w:themeColor="text1"/>
                <w:sz w:val="16"/>
                <w:szCs w:val="16"/>
              </w:rPr>
            </w:pPr>
            <w:r w:rsidRPr="00C51CE2">
              <w:rPr>
                <w:color w:val="000000" w:themeColor="text1"/>
                <w:sz w:val="16"/>
                <w:szCs w:val="16"/>
              </w:rPr>
              <w:t>11.93</w:t>
            </w:r>
          </w:p>
        </w:tc>
        <w:tc>
          <w:tcPr>
            <w:tcW w:w="850" w:type="dxa"/>
            <w:tcBorders>
              <w:top w:val="single" w:sz="4" w:space="0" w:color="auto"/>
              <w:bottom w:val="single" w:sz="4" w:space="0" w:color="auto"/>
            </w:tcBorders>
            <w:shd w:val="clear" w:color="auto" w:fill="auto"/>
            <w:hideMark/>
          </w:tcPr>
          <w:p w14:paraId="11A53156" w14:textId="77777777" w:rsidR="004B334D" w:rsidRPr="00C51CE2" w:rsidRDefault="004B334D" w:rsidP="007E4CDF">
            <w:pPr>
              <w:snapToGrid w:val="0"/>
              <w:contextualSpacing/>
              <w:jc w:val="center"/>
              <w:rPr>
                <w:color w:val="000000" w:themeColor="text1"/>
                <w:sz w:val="16"/>
                <w:szCs w:val="16"/>
              </w:rPr>
            </w:pPr>
            <w:r w:rsidRPr="00C51CE2">
              <w:rPr>
                <w:color w:val="000000" w:themeColor="text1"/>
                <w:sz w:val="16"/>
                <w:szCs w:val="16"/>
              </w:rPr>
              <w:t>42.04</w:t>
            </w:r>
          </w:p>
        </w:tc>
        <w:tc>
          <w:tcPr>
            <w:tcW w:w="709" w:type="dxa"/>
            <w:tcBorders>
              <w:top w:val="single" w:sz="4" w:space="0" w:color="auto"/>
              <w:bottom w:val="single" w:sz="4" w:space="0" w:color="auto"/>
            </w:tcBorders>
            <w:shd w:val="clear" w:color="auto" w:fill="auto"/>
            <w:hideMark/>
          </w:tcPr>
          <w:p w14:paraId="09626C43" w14:textId="77777777" w:rsidR="004B334D" w:rsidRPr="00C51CE2" w:rsidRDefault="004B334D" w:rsidP="007E4CDF">
            <w:pPr>
              <w:snapToGrid w:val="0"/>
              <w:contextualSpacing/>
              <w:jc w:val="center"/>
              <w:rPr>
                <w:color w:val="000000" w:themeColor="text1"/>
                <w:sz w:val="16"/>
                <w:szCs w:val="16"/>
              </w:rPr>
            </w:pPr>
            <w:r w:rsidRPr="00C51CE2">
              <w:rPr>
                <w:color w:val="000000" w:themeColor="text1"/>
                <w:sz w:val="16"/>
                <w:szCs w:val="16"/>
              </w:rPr>
              <w:t>9.78</w:t>
            </w:r>
          </w:p>
        </w:tc>
        <w:tc>
          <w:tcPr>
            <w:tcW w:w="1134" w:type="dxa"/>
            <w:tcBorders>
              <w:top w:val="single" w:sz="4" w:space="0" w:color="auto"/>
              <w:bottom w:val="single" w:sz="4" w:space="0" w:color="auto"/>
            </w:tcBorders>
            <w:shd w:val="clear" w:color="auto" w:fill="auto"/>
            <w:hideMark/>
          </w:tcPr>
          <w:p w14:paraId="1FE00CC6" w14:textId="77777777" w:rsidR="004B334D" w:rsidRPr="00C51CE2" w:rsidRDefault="004B334D" w:rsidP="007E4CDF">
            <w:pPr>
              <w:snapToGrid w:val="0"/>
              <w:contextualSpacing/>
              <w:rPr>
                <w:color w:val="000000" w:themeColor="text1"/>
                <w:sz w:val="16"/>
                <w:szCs w:val="16"/>
              </w:rPr>
            </w:pPr>
            <w:r w:rsidRPr="00C51CE2">
              <w:rPr>
                <w:color w:val="000000" w:themeColor="text1"/>
                <w:sz w:val="16"/>
                <w:szCs w:val="16"/>
              </w:rPr>
              <w:t>t=.701           Sig. (2-tailed)= .486; (p&gt;.05)</w:t>
            </w:r>
          </w:p>
        </w:tc>
        <w:tc>
          <w:tcPr>
            <w:tcW w:w="709" w:type="dxa"/>
            <w:tcBorders>
              <w:top w:val="single" w:sz="4" w:space="0" w:color="auto"/>
            </w:tcBorders>
          </w:tcPr>
          <w:p w14:paraId="7156D7E0" w14:textId="77777777" w:rsidR="004B334D" w:rsidRPr="00C51CE2" w:rsidRDefault="004B334D" w:rsidP="007E4CDF">
            <w:pPr>
              <w:snapToGrid w:val="0"/>
              <w:contextualSpacing/>
              <w:rPr>
                <w:color w:val="000000" w:themeColor="text1"/>
                <w:sz w:val="16"/>
                <w:szCs w:val="16"/>
              </w:rPr>
            </w:pPr>
            <w:r w:rsidRPr="00C51CE2">
              <w:rPr>
                <w:color w:val="000000" w:themeColor="text1"/>
                <w:sz w:val="16"/>
                <w:szCs w:val="16"/>
              </w:rPr>
              <w:t>42.71</w:t>
            </w:r>
          </w:p>
        </w:tc>
        <w:tc>
          <w:tcPr>
            <w:tcW w:w="709" w:type="dxa"/>
            <w:tcBorders>
              <w:top w:val="single" w:sz="4" w:space="0" w:color="auto"/>
            </w:tcBorders>
          </w:tcPr>
          <w:p w14:paraId="2BA4A550" w14:textId="77777777" w:rsidR="004B334D" w:rsidRPr="00C51CE2" w:rsidRDefault="004B334D" w:rsidP="007E4CDF">
            <w:pPr>
              <w:snapToGrid w:val="0"/>
              <w:contextualSpacing/>
              <w:rPr>
                <w:color w:val="000000" w:themeColor="text1"/>
                <w:sz w:val="16"/>
                <w:szCs w:val="16"/>
              </w:rPr>
            </w:pPr>
            <w:r w:rsidRPr="00C51CE2">
              <w:rPr>
                <w:color w:val="000000" w:themeColor="text1"/>
                <w:sz w:val="16"/>
                <w:szCs w:val="16"/>
              </w:rPr>
              <w:t>10.67</w:t>
            </w:r>
          </w:p>
        </w:tc>
        <w:tc>
          <w:tcPr>
            <w:tcW w:w="708" w:type="dxa"/>
            <w:tcBorders>
              <w:top w:val="single" w:sz="4" w:space="0" w:color="auto"/>
            </w:tcBorders>
          </w:tcPr>
          <w:p w14:paraId="6666A821" w14:textId="77777777" w:rsidR="004B334D" w:rsidRPr="00C51CE2" w:rsidRDefault="004B334D" w:rsidP="007E4CDF">
            <w:pPr>
              <w:snapToGrid w:val="0"/>
              <w:contextualSpacing/>
              <w:rPr>
                <w:color w:val="000000" w:themeColor="text1"/>
                <w:sz w:val="16"/>
                <w:szCs w:val="16"/>
              </w:rPr>
            </w:pPr>
            <w:r w:rsidRPr="00C51CE2">
              <w:rPr>
                <w:color w:val="000000" w:themeColor="text1"/>
                <w:sz w:val="16"/>
                <w:szCs w:val="16"/>
              </w:rPr>
              <w:t>45.67</w:t>
            </w:r>
          </w:p>
        </w:tc>
        <w:tc>
          <w:tcPr>
            <w:tcW w:w="709" w:type="dxa"/>
            <w:tcBorders>
              <w:top w:val="single" w:sz="4" w:space="0" w:color="auto"/>
            </w:tcBorders>
          </w:tcPr>
          <w:p w14:paraId="0B4CF16D" w14:textId="77777777" w:rsidR="004B334D" w:rsidRPr="00C51CE2" w:rsidRDefault="004B334D" w:rsidP="007E4CDF">
            <w:pPr>
              <w:snapToGrid w:val="0"/>
              <w:contextualSpacing/>
              <w:rPr>
                <w:color w:val="000000" w:themeColor="text1"/>
                <w:sz w:val="16"/>
                <w:szCs w:val="16"/>
              </w:rPr>
            </w:pPr>
            <w:r w:rsidRPr="00C51CE2">
              <w:rPr>
                <w:color w:val="000000" w:themeColor="text1"/>
                <w:sz w:val="16"/>
                <w:szCs w:val="16"/>
              </w:rPr>
              <w:t>10.25</w:t>
            </w:r>
          </w:p>
        </w:tc>
        <w:tc>
          <w:tcPr>
            <w:tcW w:w="851" w:type="dxa"/>
            <w:tcBorders>
              <w:top w:val="single" w:sz="4" w:space="0" w:color="auto"/>
            </w:tcBorders>
          </w:tcPr>
          <w:p w14:paraId="21D6AA9B" w14:textId="77777777" w:rsidR="004B334D" w:rsidRPr="00C51CE2" w:rsidRDefault="004B334D" w:rsidP="007E4CDF">
            <w:pPr>
              <w:snapToGrid w:val="0"/>
              <w:contextualSpacing/>
              <w:rPr>
                <w:color w:val="000000" w:themeColor="text1"/>
                <w:sz w:val="16"/>
                <w:szCs w:val="16"/>
              </w:rPr>
            </w:pPr>
            <w:r w:rsidRPr="00C51CE2">
              <w:rPr>
                <w:color w:val="000000" w:themeColor="text1"/>
                <w:sz w:val="16"/>
                <w:szCs w:val="16"/>
              </w:rPr>
              <w:t>t=-2.113</w:t>
            </w:r>
            <w:r w:rsidRPr="00C51CE2">
              <w:rPr>
                <w:color w:val="000000" w:themeColor="text1"/>
                <w:sz w:val="16"/>
                <w:szCs w:val="16"/>
              </w:rPr>
              <w:br/>
              <w:t>Sig. (2-tailed)= .036; (p&gt;.05)</w:t>
            </w:r>
          </w:p>
        </w:tc>
      </w:tr>
      <w:tr w:rsidR="004B334D" w:rsidRPr="00C51CE2" w14:paraId="3A86684D" w14:textId="77777777" w:rsidTr="007E4CDF">
        <w:trPr>
          <w:trHeight w:val="802"/>
        </w:trPr>
        <w:tc>
          <w:tcPr>
            <w:tcW w:w="959" w:type="dxa"/>
            <w:tcBorders>
              <w:top w:val="single" w:sz="4" w:space="0" w:color="auto"/>
              <w:bottom w:val="single" w:sz="4" w:space="0" w:color="auto"/>
            </w:tcBorders>
            <w:shd w:val="clear" w:color="auto" w:fill="auto"/>
            <w:hideMark/>
          </w:tcPr>
          <w:p w14:paraId="32A6BED6" w14:textId="77777777" w:rsidR="004B334D" w:rsidRPr="00C51CE2" w:rsidRDefault="004B334D" w:rsidP="007E4CDF">
            <w:pPr>
              <w:jc w:val="center"/>
              <w:rPr>
                <w:color w:val="000000" w:themeColor="text1"/>
                <w:sz w:val="16"/>
                <w:szCs w:val="16"/>
              </w:rPr>
            </w:pPr>
            <w:r w:rsidRPr="00C51CE2">
              <w:rPr>
                <w:color w:val="000000" w:themeColor="text1"/>
                <w:sz w:val="16"/>
                <w:szCs w:val="16"/>
              </w:rPr>
              <w:t>CV</w:t>
            </w:r>
          </w:p>
        </w:tc>
        <w:tc>
          <w:tcPr>
            <w:tcW w:w="851" w:type="dxa"/>
            <w:tcBorders>
              <w:top w:val="single" w:sz="4" w:space="0" w:color="auto"/>
              <w:bottom w:val="single" w:sz="4" w:space="0" w:color="auto"/>
            </w:tcBorders>
            <w:shd w:val="clear" w:color="auto" w:fill="auto"/>
          </w:tcPr>
          <w:p w14:paraId="41F3D988" w14:textId="77777777" w:rsidR="004B334D" w:rsidRPr="00C51CE2" w:rsidRDefault="004B334D" w:rsidP="007E4CDF">
            <w:pPr>
              <w:jc w:val="center"/>
              <w:rPr>
                <w:color w:val="000000" w:themeColor="text1"/>
                <w:sz w:val="16"/>
                <w:szCs w:val="16"/>
              </w:rPr>
            </w:pPr>
            <w:r w:rsidRPr="00C51CE2">
              <w:rPr>
                <w:color w:val="000000" w:themeColor="text1"/>
                <w:sz w:val="16"/>
                <w:szCs w:val="16"/>
              </w:rPr>
              <w:t>56.35</w:t>
            </w:r>
          </w:p>
        </w:tc>
        <w:tc>
          <w:tcPr>
            <w:tcW w:w="709" w:type="dxa"/>
            <w:tcBorders>
              <w:top w:val="single" w:sz="4" w:space="0" w:color="auto"/>
              <w:bottom w:val="single" w:sz="4" w:space="0" w:color="auto"/>
            </w:tcBorders>
            <w:shd w:val="clear" w:color="auto" w:fill="auto"/>
          </w:tcPr>
          <w:p w14:paraId="42ECFC51" w14:textId="77777777" w:rsidR="004B334D" w:rsidRPr="00C51CE2" w:rsidRDefault="004B334D" w:rsidP="007E4CDF">
            <w:pPr>
              <w:jc w:val="center"/>
              <w:rPr>
                <w:color w:val="000000" w:themeColor="text1"/>
                <w:sz w:val="16"/>
                <w:szCs w:val="16"/>
              </w:rPr>
            </w:pPr>
            <w:r w:rsidRPr="00C51CE2">
              <w:rPr>
                <w:color w:val="000000" w:themeColor="text1"/>
                <w:sz w:val="16"/>
                <w:szCs w:val="16"/>
              </w:rPr>
              <w:t>12.09</w:t>
            </w:r>
          </w:p>
        </w:tc>
        <w:tc>
          <w:tcPr>
            <w:tcW w:w="850" w:type="dxa"/>
            <w:tcBorders>
              <w:top w:val="single" w:sz="4" w:space="0" w:color="auto"/>
              <w:bottom w:val="single" w:sz="4" w:space="0" w:color="auto"/>
            </w:tcBorders>
            <w:shd w:val="clear" w:color="auto" w:fill="auto"/>
          </w:tcPr>
          <w:p w14:paraId="189874F6" w14:textId="77777777" w:rsidR="004B334D" w:rsidRPr="00C51CE2" w:rsidRDefault="004B334D" w:rsidP="007E4CDF">
            <w:pPr>
              <w:jc w:val="center"/>
              <w:rPr>
                <w:color w:val="000000" w:themeColor="text1"/>
                <w:sz w:val="16"/>
                <w:szCs w:val="16"/>
              </w:rPr>
            </w:pPr>
            <w:r w:rsidRPr="00C51CE2">
              <w:rPr>
                <w:color w:val="000000" w:themeColor="text1"/>
                <w:sz w:val="16"/>
                <w:szCs w:val="16"/>
              </w:rPr>
              <w:t>56.31</w:t>
            </w:r>
          </w:p>
        </w:tc>
        <w:tc>
          <w:tcPr>
            <w:tcW w:w="709" w:type="dxa"/>
            <w:tcBorders>
              <w:top w:val="single" w:sz="4" w:space="0" w:color="auto"/>
              <w:bottom w:val="single" w:sz="4" w:space="0" w:color="auto"/>
            </w:tcBorders>
            <w:shd w:val="clear" w:color="auto" w:fill="auto"/>
          </w:tcPr>
          <w:p w14:paraId="2BCBCA6D" w14:textId="77777777" w:rsidR="004B334D" w:rsidRPr="00C51CE2" w:rsidRDefault="004B334D" w:rsidP="007E4CDF">
            <w:pPr>
              <w:jc w:val="center"/>
              <w:rPr>
                <w:color w:val="000000" w:themeColor="text1"/>
                <w:sz w:val="16"/>
                <w:szCs w:val="16"/>
              </w:rPr>
            </w:pPr>
            <w:r w:rsidRPr="00C51CE2">
              <w:rPr>
                <w:color w:val="000000" w:themeColor="text1"/>
                <w:sz w:val="16"/>
                <w:szCs w:val="16"/>
              </w:rPr>
              <w:t>10.50</w:t>
            </w:r>
          </w:p>
        </w:tc>
        <w:tc>
          <w:tcPr>
            <w:tcW w:w="1276" w:type="dxa"/>
            <w:tcBorders>
              <w:top w:val="single" w:sz="4" w:space="0" w:color="auto"/>
              <w:bottom w:val="single" w:sz="4" w:space="0" w:color="auto"/>
            </w:tcBorders>
            <w:shd w:val="clear" w:color="auto" w:fill="auto"/>
            <w:hideMark/>
          </w:tcPr>
          <w:p w14:paraId="44216EE5" w14:textId="77777777" w:rsidR="004B334D" w:rsidRPr="00C51CE2" w:rsidRDefault="004B334D" w:rsidP="007E4CDF">
            <w:pPr>
              <w:rPr>
                <w:color w:val="000000" w:themeColor="text1"/>
                <w:sz w:val="16"/>
                <w:szCs w:val="16"/>
              </w:rPr>
            </w:pPr>
            <w:r w:rsidRPr="00C51CE2">
              <w:rPr>
                <w:color w:val="000000" w:themeColor="text1"/>
                <w:sz w:val="16"/>
                <w:szCs w:val="16"/>
              </w:rPr>
              <w:t>t=.018       Sig. (2-tailed) = .985; (p&gt;.05)</w:t>
            </w:r>
          </w:p>
        </w:tc>
        <w:tc>
          <w:tcPr>
            <w:tcW w:w="708" w:type="dxa"/>
            <w:tcBorders>
              <w:top w:val="single" w:sz="4" w:space="0" w:color="auto"/>
              <w:bottom w:val="single" w:sz="4" w:space="0" w:color="auto"/>
            </w:tcBorders>
            <w:shd w:val="clear" w:color="auto" w:fill="auto"/>
            <w:hideMark/>
          </w:tcPr>
          <w:p w14:paraId="51A822FA" w14:textId="77777777" w:rsidR="004B334D" w:rsidRPr="00C51CE2" w:rsidRDefault="004B334D" w:rsidP="007E4CDF">
            <w:pPr>
              <w:jc w:val="center"/>
              <w:rPr>
                <w:color w:val="000000" w:themeColor="text1"/>
                <w:sz w:val="16"/>
                <w:szCs w:val="16"/>
              </w:rPr>
            </w:pPr>
            <w:r w:rsidRPr="00C51CE2">
              <w:rPr>
                <w:color w:val="000000" w:themeColor="text1"/>
                <w:sz w:val="16"/>
                <w:szCs w:val="16"/>
              </w:rPr>
              <w:t>52.29</w:t>
            </w:r>
          </w:p>
        </w:tc>
        <w:tc>
          <w:tcPr>
            <w:tcW w:w="851" w:type="dxa"/>
            <w:tcBorders>
              <w:top w:val="single" w:sz="4" w:space="0" w:color="auto"/>
              <w:bottom w:val="single" w:sz="4" w:space="0" w:color="auto"/>
            </w:tcBorders>
            <w:shd w:val="clear" w:color="auto" w:fill="auto"/>
            <w:hideMark/>
          </w:tcPr>
          <w:p w14:paraId="3A52BE37" w14:textId="77777777" w:rsidR="004B334D" w:rsidRPr="00C51CE2" w:rsidRDefault="004B334D" w:rsidP="007E4CDF">
            <w:pPr>
              <w:jc w:val="center"/>
              <w:rPr>
                <w:color w:val="000000" w:themeColor="text1"/>
                <w:sz w:val="16"/>
                <w:szCs w:val="16"/>
              </w:rPr>
            </w:pPr>
            <w:r w:rsidRPr="00C51CE2">
              <w:rPr>
                <w:color w:val="000000" w:themeColor="text1"/>
                <w:sz w:val="16"/>
                <w:szCs w:val="16"/>
              </w:rPr>
              <w:t>15.50</w:t>
            </w:r>
          </w:p>
        </w:tc>
        <w:tc>
          <w:tcPr>
            <w:tcW w:w="850" w:type="dxa"/>
            <w:tcBorders>
              <w:top w:val="single" w:sz="4" w:space="0" w:color="auto"/>
              <w:bottom w:val="single" w:sz="4" w:space="0" w:color="auto"/>
            </w:tcBorders>
            <w:shd w:val="clear" w:color="auto" w:fill="auto"/>
            <w:hideMark/>
          </w:tcPr>
          <w:p w14:paraId="13582551" w14:textId="77777777" w:rsidR="004B334D" w:rsidRPr="00C51CE2" w:rsidRDefault="004B334D" w:rsidP="007E4CDF">
            <w:pPr>
              <w:jc w:val="center"/>
              <w:rPr>
                <w:color w:val="000000" w:themeColor="text1"/>
                <w:sz w:val="16"/>
                <w:szCs w:val="16"/>
              </w:rPr>
            </w:pPr>
            <w:r w:rsidRPr="00C51CE2">
              <w:rPr>
                <w:color w:val="000000" w:themeColor="text1"/>
                <w:sz w:val="16"/>
                <w:szCs w:val="16"/>
              </w:rPr>
              <w:t>54.40</w:t>
            </w:r>
          </w:p>
        </w:tc>
        <w:tc>
          <w:tcPr>
            <w:tcW w:w="709" w:type="dxa"/>
            <w:tcBorders>
              <w:top w:val="single" w:sz="4" w:space="0" w:color="auto"/>
              <w:bottom w:val="single" w:sz="4" w:space="0" w:color="auto"/>
            </w:tcBorders>
            <w:shd w:val="clear" w:color="auto" w:fill="auto"/>
            <w:hideMark/>
          </w:tcPr>
          <w:p w14:paraId="379C4607" w14:textId="77777777" w:rsidR="004B334D" w:rsidRPr="00C51CE2" w:rsidRDefault="004B334D" w:rsidP="007E4CDF">
            <w:pPr>
              <w:jc w:val="center"/>
              <w:rPr>
                <w:color w:val="000000" w:themeColor="text1"/>
                <w:sz w:val="16"/>
                <w:szCs w:val="16"/>
              </w:rPr>
            </w:pPr>
            <w:r w:rsidRPr="00C51CE2">
              <w:rPr>
                <w:color w:val="000000" w:themeColor="text1"/>
                <w:sz w:val="16"/>
                <w:szCs w:val="16"/>
              </w:rPr>
              <w:t>11.25</w:t>
            </w:r>
          </w:p>
        </w:tc>
        <w:tc>
          <w:tcPr>
            <w:tcW w:w="1134" w:type="dxa"/>
            <w:tcBorders>
              <w:top w:val="single" w:sz="4" w:space="0" w:color="auto"/>
              <w:bottom w:val="single" w:sz="4" w:space="0" w:color="auto"/>
            </w:tcBorders>
            <w:shd w:val="clear" w:color="auto" w:fill="auto"/>
            <w:hideMark/>
          </w:tcPr>
          <w:p w14:paraId="01375DD4" w14:textId="77777777" w:rsidR="004B334D" w:rsidRPr="00C51CE2" w:rsidRDefault="004B334D" w:rsidP="007E4CDF">
            <w:pPr>
              <w:rPr>
                <w:color w:val="000000" w:themeColor="text1"/>
                <w:sz w:val="16"/>
                <w:szCs w:val="16"/>
              </w:rPr>
            </w:pPr>
            <w:r w:rsidRPr="00C51CE2">
              <w:rPr>
                <w:color w:val="000000" w:themeColor="text1"/>
                <w:sz w:val="16"/>
                <w:szCs w:val="16"/>
              </w:rPr>
              <w:t>t=-.720;              Sig. (2-tailed)= .473; (p&gt;.05)</w:t>
            </w:r>
          </w:p>
        </w:tc>
        <w:tc>
          <w:tcPr>
            <w:tcW w:w="709" w:type="dxa"/>
            <w:tcBorders>
              <w:top w:val="single" w:sz="4" w:space="0" w:color="auto"/>
            </w:tcBorders>
          </w:tcPr>
          <w:p w14:paraId="441734FA" w14:textId="77777777" w:rsidR="004B334D" w:rsidRPr="00C51CE2" w:rsidRDefault="004B334D" w:rsidP="007E4CDF">
            <w:pPr>
              <w:rPr>
                <w:color w:val="000000" w:themeColor="text1"/>
                <w:sz w:val="16"/>
                <w:szCs w:val="16"/>
              </w:rPr>
            </w:pPr>
            <w:r w:rsidRPr="00C51CE2">
              <w:rPr>
                <w:color w:val="000000" w:themeColor="text1"/>
                <w:sz w:val="16"/>
                <w:szCs w:val="16"/>
              </w:rPr>
              <w:t>53.55</w:t>
            </w:r>
          </w:p>
        </w:tc>
        <w:tc>
          <w:tcPr>
            <w:tcW w:w="709" w:type="dxa"/>
            <w:tcBorders>
              <w:top w:val="single" w:sz="4" w:space="0" w:color="auto"/>
            </w:tcBorders>
          </w:tcPr>
          <w:p w14:paraId="4958460B" w14:textId="77777777" w:rsidR="004B334D" w:rsidRPr="00C51CE2" w:rsidRDefault="004B334D" w:rsidP="007E4CDF">
            <w:pPr>
              <w:rPr>
                <w:color w:val="000000" w:themeColor="text1"/>
                <w:sz w:val="16"/>
                <w:szCs w:val="16"/>
              </w:rPr>
            </w:pPr>
            <w:r w:rsidRPr="00C51CE2">
              <w:rPr>
                <w:color w:val="000000" w:themeColor="text1"/>
                <w:sz w:val="16"/>
                <w:szCs w:val="16"/>
              </w:rPr>
              <w:t>13.11</w:t>
            </w:r>
          </w:p>
        </w:tc>
        <w:tc>
          <w:tcPr>
            <w:tcW w:w="708" w:type="dxa"/>
            <w:tcBorders>
              <w:top w:val="single" w:sz="4" w:space="0" w:color="auto"/>
            </w:tcBorders>
          </w:tcPr>
          <w:p w14:paraId="5A83F687" w14:textId="77777777" w:rsidR="004B334D" w:rsidRPr="00C51CE2" w:rsidRDefault="004B334D" w:rsidP="007E4CDF">
            <w:pPr>
              <w:rPr>
                <w:color w:val="000000" w:themeColor="text1"/>
                <w:sz w:val="16"/>
                <w:szCs w:val="16"/>
              </w:rPr>
            </w:pPr>
            <w:r w:rsidRPr="00C51CE2">
              <w:rPr>
                <w:color w:val="000000" w:themeColor="text1"/>
                <w:sz w:val="16"/>
                <w:szCs w:val="16"/>
              </w:rPr>
              <w:t>56.33</w:t>
            </w:r>
          </w:p>
        </w:tc>
        <w:tc>
          <w:tcPr>
            <w:tcW w:w="709" w:type="dxa"/>
            <w:tcBorders>
              <w:top w:val="single" w:sz="4" w:space="0" w:color="auto"/>
            </w:tcBorders>
          </w:tcPr>
          <w:p w14:paraId="13956D6A" w14:textId="77777777" w:rsidR="004B334D" w:rsidRPr="00C51CE2" w:rsidRDefault="004B334D" w:rsidP="007E4CDF">
            <w:pPr>
              <w:rPr>
                <w:color w:val="000000" w:themeColor="text1"/>
                <w:sz w:val="16"/>
                <w:szCs w:val="16"/>
              </w:rPr>
            </w:pPr>
            <w:r w:rsidRPr="00C51CE2">
              <w:rPr>
                <w:color w:val="000000" w:themeColor="text1"/>
                <w:sz w:val="16"/>
                <w:szCs w:val="16"/>
              </w:rPr>
              <w:t>11.37</w:t>
            </w:r>
          </w:p>
        </w:tc>
        <w:tc>
          <w:tcPr>
            <w:tcW w:w="851" w:type="dxa"/>
            <w:tcBorders>
              <w:top w:val="single" w:sz="4" w:space="0" w:color="auto"/>
            </w:tcBorders>
          </w:tcPr>
          <w:p w14:paraId="66934336" w14:textId="77777777" w:rsidR="004B334D" w:rsidRPr="00C51CE2" w:rsidRDefault="004B334D" w:rsidP="007E4CDF">
            <w:pPr>
              <w:rPr>
                <w:color w:val="000000" w:themeColor="text1"/>
                <w:sz w:val="16"/>
                <w:szCs w:val="16"/>
              </w:rPr>
            </w:pPr>
            <w:r w:rsidRPr="00C51CE2">
              <w:rPr>
                <w:color w:val="000000" w:themeColor="text1"/>
                <w:sz w:val="16"/>
                <w:szCs w:val="16"/>
              </w:rPr>
              <w:t>t=1.728</w:t>
            </w:r>
            <w:r w:rsidRPr="00C51CE2">
              <w:rPr>
                <w:color w:val="000000" w:themeColor="text1"/>
                <w:sz w:val="16"/>
                <w:szCs w:val="16"/>
              </w:rPr>
              <w:br/>
              <w:t>Sig. (2-tailed)= .085; (p&gt;.05)</w:t>
            </w:r>
          </w:p>
        </w:tc>
      </w:tr>
      <w:tr w:rsidR="004B334D" w:rsidRPr="00C51CE2" w14:paraId="648C5E13" w14:textId="77777777" w:rsidTr="007E4CDF">
        <w:trPr>
          <w:trHeight w:val="802"/>
        </w:trPr>
        <w:tc>
          <w:tcPr>
            <w:tcW w:w="959" w:type="dxa"/>
            <w:tcBorders>
              <w:top w:val="single" w:sz="4" w:space="0" w:color="auto"/>
              <w:bottom w:val="single" w:sz="4" w:space="0" w:color="auto"/>
            </w:tcBorders>
            <w:shd w:val="clear" w:color="auto" w:fill="auto"/>
            <w:hideMark/>
          </w:tcPr>
          <w:p w14:paraId="515C2B36" w14:textId="77777777" w:rsidR="004B334D" w:rsidRPr="00C51CE2" w:rsidRDefault="004B334D" w:rsidP="007E4CDF">
            <w:pPr>
              <w:jc w:val="center"/>
              <w:rPr>
                <w:color w:val="000000" w:themeColor="text1"/>
                <w:sz w:val="16"/>
                <w:szCs w:val="16"/>
              </w:rPr>
            </w:pPr>
            <w:r w:rsidRPr="00C51CE2">
              <w:rPr>
                <w:color w:val="000000" w:themeColor="text1"/>
                <w:sz w:val="16"/>
                <w:szCs w:val="16"/>
              </w:rPr>
              <w:t>CA</w:t>
            </w:r>
          </w:p>
        </w:tc>
        <w:tc>
          <w:tcPr>
            <w:tcW w:w="851" w:type="dxa"/>
            <w:tcBorders>
              <w:top w:val="single" w:sz="4" w:space="0" w:color="auto"/>
              <w:bottom w:val="single" w:sz="4" w:space="0" w:color="auto"/>
            </w:tcBorders>
            <w:shd w:val="clear" w:color="auto" w:fill="auto"/>
          </w:tcPr>
          <w:p w14:paraId="57F29D45" w14:textId="77777777" w:rsidR="004B334D" w:rsidRPr="00C51CE2" w:rsidRDefault="004B334D" w:rsidP="007E4CDF">
            <w:pPr>
              <w:jc w:val="center"/>
              <w:rPr>
                <w:color w:val="000000" w:themeColor="text1"/>
                <w:sz w:val="16"/>
                <w:szCs w:val="16"/>
              </w:rPr>
            </w:pPr>
            <w:r w:rsidRPr="00C51CE2">
              <w:rPr>
                <w:color w:val="000000" w:themeColor="text1"/>
                <w:sz w:val="16"/>
                <w:szCs w:val="16"/>
              </w:rPr>
              <w:t>65.47</w:t>
            </w:r>
          </w:p>
        </w:tc>
        <w:tc>
          <w:tcPr>
            <w:tcW w:w="709" w:type="dxa"/>
            <w:tcBorders>
              <w:top w:val="single" w:sz="4" w:space="0" w:color="auto"/>
              <w:bottom w:val="single" w:sz="4" w:space="0" w:color="auto"/>
            </w:tcBorders>
            <w:shd w:val="clear" w:color="auto" w:fill="auto"/>
          </w:tcPr>
          <w:p w14:paraId="11883410" w14:textId="77777777" w:rsidR="004B334D" w:rsidRPr="00C51CE2" w:rsidRDefault="004B334D" w:rsidP="007E4CDF">
            <w:pPr>
              <w:jc w:val="center"/>
              <w:rPr>
                <w:color w:val="000000" w:themeColor="text1"/>
                <w:sz w:val="16"/>
                <w:szCs w:val="16"/>
              </w:rPr>
            </w:pPr>
            <w:r w:rsidRPr="00C51CE2">
              <w:rPr>
                <w:color w:val="000000" w:themeColor="text1"/>
                <w:sz w:val="16"/>
                <w:szCs w:val="16"/>
              </w:rPr>
              <w:t>12.71</w:t>
            </w:r>
          </w:p>
        </w:tc>
        <w:tc>
          <w:tcPr>
            <w:tcW w:w="850" w:type="dxa"/>
            <w:tcBorders>
              <w:top w:val="single" w:sz="4" w:space="0" w:color="auto"/>
              <w:bottom w:val="single" w:sz="4" w:space="0" w:color="auto"/>
            </w:tcBorders>
            <w:shd w:val="clear" w:color="auto" w:fill="auto"/>
          </w:tcPr>
          <w:p w14:paraId="3142150B" w14:textId="77777777" w:rsidR="004B334D" w:rsidRPr="00C51CE2" w:rsidRDefault="004B334D" w:rsidP="007E4CDF">
            <w:pPr>
              <w:jc w:val="center"/>
              <w:rPr>
                <w:color w:val="000000" w:themeColor="text1"/>
                <w:sz w:val="16"/>
                <w:szCs w:val="16"/>
              </w:rPr>
            </w:pPr>
            <w:r w:rsidRPr="00C51CE2">
              <w:rPr>
                <w:color w:val="000000" w:themeColor="text1"/>
                <w:sz w:val="16"/>
                <w:szCs w:val="16"/>
              </w:rPr>
              <w:t>65.15</w:t>
            </w:r>
          </w:p>
        </w:tc>
        <w:tc>
          <w:tcPr>
            <w:tcW w:w="709" w:type="dxa"/>
            <w:tcBorders>
              <w:top w:val="single" w:sz="4" w:space="0" w:color="auto"/>
              <w:bottom w:val="single" w:sz="4" w:space="0" w:color="auto"/>
            </w:tcBorders>
            <w:shd w:val="clear" w:color="auto" w:fill="auto"/>
          </w:tcPr>
          <w:p w14:paraId="4F2E088F" w14:textId="77777777" w:rsidR="004B334D" w:rsidRPr="00C51CE2" w:rsidRDefault="004B334D" w:rsidP="007E4CDF">
            <w:pPr>
              <w:rPr>
                <w:color w:val="000000" w:themeColor="text1"/>
                <w:sz w:val="16"/>
                <w:szCs w:val="16"/>
              </w:rPr>
            </w:pPr>
            <w:r w:rsidRPr="00C51CE2">
              <w:rPr>
                <w:color w:val="000000" w:themeColor="text1"/>
                <w:sz w:val="16"/>
                <w:szCs w:val="16"/>
              </w:rPr>
              <w:t>11.01</w:t>
            </w:r>
          </w:p>
        </w:tc>
        <w:tc>
          <w:tcPr>
            <w:tcW w:w="1276" w:type="dxa"/>
            <w:tcBorders>
              <w:top w:val="single" w:sz="4" w:space="0" w:color="auto"/>
              <w:bottom w:val="single" w:sz="4" w:space="0" w:color="auto"/>
            </w:tcBorders>
            <w:shd w:val="clear" w:color="auto" w:fill="auto"/>
            <w:hideMark/>
          </w:tcPr>
          <w:p w14:paraId="340B2D51" w14:textId="77777777" w:rsidR="004B334D" w:rsidRPr="00C51CE2" w:rsidRDefault="004B334D" w:rsidP="007E4CDF">
            <w:pPr>
              <w:rPr>
                <w:color w:val="000000" w:themeColor="text1"/>
                <w:sz w:val="16"/>
                <w:szCs w:val="16"/>
              </w:rPr>
            </w:pPr>
            <w:r w:rsidRPr="00C51CE2">
              <w:rPr>
                <w:color w:val="000000" w:themeColor="text1"/>
                <w:sz w:val="16"/>
                <w:szCs w:val="16"/>
              </w:rPr>
              <w:t>t=.170</w:t>
            </w:r>
            <w:r w:rsidRPr="00C51CE2">
              <w:rPr>
                <w:color w:val="000000" w:themeColor="text1"/>
                <w:sz w:val="16"/>
                <w:szCs w:val="16"/>
              </w:rPr>
              <w:br/>
              <w:t>Sig. (2-tailed) =.865 (p&gt;.05)</w:t>
            </w:r>
          </w:p>
        </w:tc>
        <w:tc>
          <w:tcPr>
            <w:tcW w:w="708" w:type="dxa"/>
            <w:tcBorders>
              <w:top w:val="single" w:sz="4" w:space="0" w:color="auto"/>
              <w:bottom w:val="single" w:sz="4" w:space="0" w:color="auto"/>
            </w:tcBorders>
            <w:shd w:val="clear" w:color="auto" w:fill="auto"/>
            <w:hideMark/>
          </w:tcPr>
          <w:p w14:paraId="2BD64E53" w14:textId="77777777" w:rsidR="004B334D" w:rsidRPr="00C51CE2" w:rsidRDefault="004B334D" w:rsidP="007E4CDF">
            <w:pPr>
              <w:jc w:val="center"/>
              <w:rPr>
                <w:color w:val="000000" w:themeColor="text1"/>
                <w:sz w:val="16"/>
                <w:szCs w:val="16"/>
              </w:rPr>
            </w:pPr>
            <w:r w:rsidRPr="00C51CE2">
              <w:rPr>
                <w:color w:val="000000" w:themeColor="text1"/>
                <w:sz w:val="16"/>
                <w:szCs w:val="16"/>
              </w:rPr>
              <w:t>63.15</w:t>
            </w:r>
          </w:p>
        </w:tc>
        <w:tc>
          <w:tcPr>
            <w:tcW w:w="851" w:type="dxa"/>
            <w:tcBorders>
              <w:top w:val="single" w:sz="4" w:space="0" w:color="auto"/>
              <w:bottom w:val="single" w:sz="4" w:space="0" w:color="auto"/>
            </w:tcBorders>
            <w:shd w:val="clear" w:color="auto" w:fill="auto"/>
            <w:hideMark/>
          </w:tcPr>
          <w:p w14:paraId="57878E15" w14:textId="77777777" w:rsidR="004B334D" w:rsidRPr="00C51CE2" w:rsidRDefault="004B334D" w:rsidP="007E4CDF">
            <w:pPr>
              <w:jc w:val="center"/>
              <w:rPr>
                <w:color w:val="000000" w:themeColor="text1"/>
                <w:sz w:val="16"/>
                <w:szCs w:val="16"/>
              </w:rPr>
            </w:pPr>
            <w:r w:rsidRPr="00C51CE2">
              <w:rPr>
                <w:color w:val="000000" w:themeColor="text1"/>
                <w:sz w:val="16"/>
                <w:szCs w:val="16"/>
              </w:rPr>
              <w:t>13.79</w:t>
            </w:r>
          </w:p>
        </w:tc>
        <w:tc>
          <w:tcPr>
            <w:tcW w:w="850" w:type="dxa"/>
            <w:tcBorders>
              <w:top w:val="single" w:sz="4" w:space="0" w:color="auto"/>
              <w:bottom w:val="single" w:sz="4" w:space="0" w:color="auto"/>
            </w:tcBorders>
            <w:shd w:val="clear" w:color="auto" w:fill="auto"/>
            <w:hideMark/>
          </w:tcPr>
          <w:p w14:paraId="0662A3DC" w14:textId="77777777" w:rsidR="004B334D" w:rsidRPr="00C51CE2" w:rsidRDefault="004B334D" w:rsidP="007E4CDF">
            <w:pPr>
              <w:jc w:val="center"/>
              <w:rPr>
                <w:color w:val="000000" w:themeColor="text1"/>
                <w:sz w:val="16"/>
                <w:szCs w:val="16"/>
              </w:rPr>
            </w:pPr>
            <w:r w:rsidRPr="00C51CE2">
              <w:rPr>
                <w:color w:val="000000" w:themeColor="text1"/>
                <w:sz w:val="16"/>
                <w:szCs w:val="16"/>
              </w:rPr>
              <w:t>61.48</w:t>
            </w:r>
          </w:p>
        </w:tc>
        <w:tc>
          <w:tcPr>
            <w:tcW w:w="709" w:type="dxa"/>
            <w:tcBorders>
              <w:top w:val="single" w:sz="4" w:space="0" w:color="auto"/>
              <w:bottom w:val="single" w:sz="4" w:space="0" w:color="auto"/>
            </w:tcBorders>
            <w:shd w:val="clear" w:color="auto" w:fill="auto"/>
            <w:hideMark/>
          </w:tcPr>
          <w:p w14:paraId="1134D570" w14:textId="77777777" w:rsidR="004B334D" w:rsidRPr="00C51CE2" w:rsidRDefault="004B334D" w:rsidP="007E4CDF">
            <w:pPr>
              <w:jc w:val="center"/>
              <w:rPr>
                <w:color w:val="000000" w:themeColor="text1"/>
                <w:sz w:val="16"/>
                <w:szCs w:val="16"/>
              </w:rPr>
            </w:pPr>
            <w:r w:rsidRPr="00C51CE2">
              <w:rPr>
                <w:color w:val="000000" w:themeColor="text1"/>
                <w:sz w:val="16"/>
                <w:szCs w:val="16"/>
              </w:rPr>
              <w:t>13.42</w:t>
            </w:r>
          </w:p>
        </w:tc>
        <w:tc>
          <w:tcPr>
            <w:tcW w:w="1134" w:type="dxa"/>
            <w:tcBorders>
              <w:top w:val="single" w:sz="4" w:space="0" w:color="auto"/>
              <w:bottom w:val="single" w:sz="4" w:space="0" w:color="auto"/>
            </w:tcBorders>
            <w:shd w:val="clear" w:color="auto" w:fill="auto"/>
            <w:hideMark/>
          </w:tcPr>
          <w:p w14:paraId="32ECEB1A" w14:textId="77777777" w:rsidR="004B334D" w:rsidRPr="00C51CE2" w:rsidRDefault="004B334D" w:rsidP="007E4CDF">
            <w:pPr>
              <w:rPr>
                <w:color w:val="000000" w:themeColor="text1"/>
                <w:sz w:val="16"/>
                <w:szCs w:val="16"/>
              </w:rPr>
            </w:pPr>
            <w:r w:rsidRPr="00C51CE2">
              <w:rPr>
                <w:color w:val="000000" w:themeColor="text1"/>
                <w:sz w:val="16"/>
                <w:szCs w:val="16"/>
              </w:rPr>
              <w:t>t=.553</w:t>
            </w:r>
            <w:r w:rsidRPr="00C51CE2">
              <w:rPr>
                <w:color w:val="000000" w:themeColor="text1"/>
                <w:sz w:val="16"/>
                <w:szCs w:val="16"/>
              </w:rPr>
              <w:br/>
              <w:t>Sig. (2-tailed)= .582; (p&gt;.05)</w:t>
            </w:r>
          </w:p>
        </w:tc>
        <w:tc>
          <w:tcPr>
            <w:tcW w:w="709" w:type="dxa"/>
            <w:tcBorders>
              <w:top w:val="single" w:sz="4" w:space="0" w:color="auto"/>
            </w:tcBorders>
          </w:tcPr>
          <w:p w14:paraId="46040DE0" w14:textId="77777777" w:rsidR="004B334D" w:rsidRPr="00C51CE2" w:rsidRDefault="004B334D" w:rsidP="007E4CDF">
            <w:pPr>
              <w:rPr>
                <w:color w:val="000000" w:themeColor="text1"/>
                <w:sz w:val="16"/>
                <w:szCs w:val="16"/>
              </w:rPr>
            </w:pPr>
            <w:r w:rsidRPr="00C51CE2">
              <w:rPr>
                <w:color w:val="000000" w:themeColor="text1"/>
                <w:sz w:val="16"/>
                <w:szCs w:val="16"/>
              </w:rPr>
              <w:t>53.68</w:t>
            </w:r>
          </w:p>
        </w:tc>
        <w:tc>
          <w:tcPr>
            <w:tcW w:w="709" w:type="dxa"/>
            <w:tcBorders>
              <w:top w:val="single" w:sz="4" w:space="0" w:color="auto"/>
            </w:tcBorders>
          </w:tcPr>
          <w:p w14:paraId="24952484" w14:textId="77777777" w:rsidR="004B334D" w:rsidRPr="00C51CE2" w:rsidRDefault="004B334D" w:rsidP="007E4CDF">
            <w:pPr>
              <w:rPr>
                <w:color w:val="000000" w:themeColor="text1"/>
                <w:sz w:val="16"/>
                <w:szCs w:val="16"/>
              </w:rPr>
            </w:pPr>
            <w:r w:rsidRPr="00C51CE2">
              <w:rPr>
                <w:color w:val="000000" w:themeColor="text1"/>
                <w:sz w:val="16"/>
                <w:szCs w:val="16"/>
              </w:rPr>
              <w:t>12.31</w:t>
            </w:r>
          </w:p>
        </w:tc>
        <w:tc>
          <w:tcPr>
            <w:tcW w:w="708" w:type="dxa"/>
            <w:tcBorders>
              <w:top w:val="single" w:sz="4" w:space="0" w:color="auto"/>
            </w:tcBorders>
          </w:tcPr>
          <w:p w14:paraId="08A6A324" w14:textId="77777777" w:rsidR="004B334D" w:rsidRPr="00C51CE2" w:rsidRDefault="004B334D" w:rsidP="007E4CDF">
            <w:pPr>
              <w:rPr>
                <w:color w:val="000000" w:themeColor="text1"/>
                <w:sz w:val="16"/>
                <w:szCs w:val="16"/>
              </w:rPr>
            </w:pPr>
            <w:r w:rsidRPr="00C51CE2">
              <w:rPr>
                <w:color w:val="000000" w:themeColor="text1"/>
                <w:sz w:val="16"/>
                <w:szCs w:val="16"/>
              </w:rPr>
              <w:t>57.60</w:t>
            </w:r>
          </w:p>
        </w:tc>
        <w:tc>
          <w:tcPr>
            <w:tcW w:w="709" w:type="dxa"/>
            <w:tcBorders>
              <w:top w:val="single" w:sz="4" w:space="0" w:color="auto"/>
            </w:tcBorders>
          </w:tcPr>
          <w:p w14:paraId="7BCD3E9E" w14:textId="77777777" w:rsidR="004B334D" w:rsidRPr="00C51CE2" w:rsidRDefault="004B334D" w:rsidP="007E4CDF">
            <w:pPr>
              <w:rPr>
                <w:color w:val="000000" w:themeColor="text1"/>
                <w:sz w:val="16"/>
                <w:szCs w:val="16"/>
              </w:rPr>
            </w:pPr>
            <w:r w:rsidRPr="00C51CE2">
              <w:rPr>
                <w:color w:val="000000" w:themeColor="text1"/>
                <w:sz w:val="16"/>
                <w:szCs w:val="16"/>
              </w:rPr>
              <w:t>11.60</w:t>
            </w:r>
          </w:p>
        </w:tc>
        <w:tc>
          <w:tcPr>
            <w:tcW w:w="851" w:type="dxa"/>
            <w:tcBorders>
              <w:top w:val="single" w:sz="4" w:space="0" w:color="auto"/>
            </w:tcBorders>
          </w:tcPr>
          <w:p w14:paraId="0BE8297D" w14:textId="77777777" w:rsidR="004B334D" w:rsidRPr="00C51CE2" w:rsidRDefault="004B334D" w:rsidP="007E4CDF">
            <w:pPr>
              <w:rPr>
                <w:color w:val="000000" w:themeColor="text1"/>
                <w:sz w:val="16"/>
                <w:szCs w:val="16"/>
              </w:rPr>
            </w:pPr>
            <w:r w:rsidRPr="00C51CE2">
              <w:rPr>
                <w:color w:val="000000" w:themeColor="text1"/>
                <w:sz w:val="16"/>
                <w:szCs w:val="16"/>
              </w:rPr>
              <w:t>t=-.1.888</w:t>
            </w:r>
            <w:r w:rsidRPr="00C51CE2">
              <w:rPr>
                <w:color w:val="000000" w:themeColor="text1"/>
                <w:sz w:val="16"/>
                <w:szCs w:val="16"/>
              </w:rPr>
              <w:br/>
              <w:t>Sig. (2-tailed)=.060; (p&gt;.05)</w:t>
            </w:r>
          </w:p>
        </w:tc>
      </w:tr>
      <w:tr w:rsidR="004B334D" w:rsidRPr="00C51CE2" w14:paraId="32C4930D" w14:textId="77777777" w:rsidTr="007E4CDF">
        <w:trPr>
          <w:trHeight w:val="802"/>
        </w:trPr>
        <w:tc>
          <w:tcPr>
            <w:tcW w:w="959" w:type="dxa"/>
            <w:tcBorders>
              <w:top w:val="single" w:sz="4" w:space="0" w:color="auto"/>
              <w:bottom w:val="single" w:sz="4" w:space="0" w:color="auto"/>
            </w:tcBorders>
            <w:shd w:val="clear" w:color="auto" w:fill="auto"/>
            <w:hideMark/>
          </w:tcPr>
          <w:p w14:paraId="7801EB8C" w14:textId="77777777" w:rsidR="004B334D" w:rsidRPr="00C51CE2" w:rsidRDefault="004B334D" w:rsidP="007E4CDF">
            <w:pPr>
              <w:jc w:val="center"/>
              <w:rPr>
                <w:color w:val="000000" w:themeColor="text1"/>
                <w:sz w:val="16"/>
                <w:szCs w:val="16"/>
              </w:rPr>
            </w:pPr>
            <w:r w:rsidRPr="00C51CE2">
              <w:rPr>
                <w:color w:val="000000" w:themeColor="text1"/>
                <w:sz w:val="16"/>
                <w:szCs w:val="16"/>
              </w:rPr>
              <w:t>F</w:t>
            </w:r>
          </w:p>
        </w:tc>
        <w:tc>
          <w:tcPr>
            <w:tcW w:w="851" w:type="dxa"/>
            <w:tcBorders>
              <w:top w:val="single" w:sz="4" w:space="0" w:color="auto"/>
              <w:bottom w:val="single" w:sz="4" w:space="0" w:color="auto"/>
            </w:tcBorders>
            <w:shd w:val="clear" w:color="auto" w:fill="auto"/>
          </w:tcPr>
          <w:p w14:paraId="7CB6423B" w14:textId="77777777" w:rsidR="004B334D" w:rsidRPr="00C51CE2" w:rsidRDefault="004B334D" w:rsidP="007E4CDF">
            <w:pPr>
              <w:jc w:val="center"/>
              <w:rPr>
                <w:color w:val="000000" w:themeColor="text1"/>
                <w:sz w:val="16"/>
                <w:szCs w:val="16"/>
              </w:rPr>
            </w:pPr>
            <w:r w:rsidRPr="00C51CE2">
              <w:rPr>
                <w:color w:val="000000" w:themeColor="text1"/>
                <w:sz w:val="16"/>
                <w:szCs w:val="16"/>
              </w:rPr>
              <w:t>57.44</w:t>
            </w:r>
          </w:p>
        </w:tc>
        <w:tc>
          <w:tcPr>
            <w:tcW w:w="709" w:type="dxa"/>
            <w:tcBorders>
              <w:top w:val="single" w:sz="4" w:space="0" w:color="auto"/>
              <w:bottom w:val="single" w:sz="4" w:space="0" w:color="auto"/>
            </w:tcBorders>
            <w:shd w:val="clear" w:color="auto" w:fill="auto"/>
          </w:tcPr>
          <w:p w14:paraId="7717D2AF" w14:textId="77777777" w:rsidR="004B334D" w:rsidRPr="00C51CE2" w:rsidRDefault="004B334D" w:rsidP="007E4CDF">
            <w:pPr>
              <w:jc w:val="center"/>
              <w:rPr>
                <w:color w:val="000000" w:themeColor="text1"/>
                <w:sz w:val="16"/>
                <w:szCs w:val="16"/>
              </w:rPr>
            </w:pPr>
            <w:r w:rsidRPr="00C51CE2">
              <w:rPr>
                <w:color w:val="000000" w:themeColor="text1"/>
                <w:sz w:val="16"/>
                <w:szCs w:val="16"/>
              </w:rPr>
              <w:t>12.42</w:t>
            </w:r>
          </w:p>
        </w:tc>
        <w:tc>
          <w:tcPr>
            <w:tcW w:w="850" w:type="dxa"/>
            <w:tcBorders>
              <w:top w:val="single" w:sz="4" w:space="0" w:color="auto"/>
              <w:bottom w:val="single" w:sz="4" w:space="0" w:color="auto"/>
            </w:tcBorders>
            <w:shd w:val="clear" w:color="auto" w:fill="auto"/>
          </w:tcPr>
          <w:p w14:paraId="67FA6A26" w14:textId="77777777" w:rsidR="004B334D" w:rsidRPr="00C51CE2" w:rsidRDefault="004B334D" w:rsidP="007E4CDF">
            <w:pPr>
              <w:jc w:val="center"/>
              <w:rPr>
                <w:color w:val="000000" w:themeColor="text1"/>
                <w:sz w:val="16"/>
                <w:szCs w:val="16"/>
              </w:rPr>
            </w:pPr>
            <w:r w:rsidRPr="00C51CE2">
              <w:rPr>
                <w:color w:val="000000" w:themeColor="text1"/>
                <w:sz w:val="16"/>
                <w:szCs w:val="16"/>
              </w:rPr>
              <w:t>57.78</w:t>
            </w:r>
          </w:p>
        </w:tc>
        <w:tc>
          <w:tcPr>
            <w:tcW w:w="709" w:type="dxa"/>
            <w:tcBorders>
              <w:top w:val="single" w:sz="4" w:space="0" w:color="auto"/>
              <w:bottom w:val="single" w:sz="4" w:space="0" w:color="auto"/>
            </w:tcBorders>
            <w:shd w:val="clear" w:color="auto" w:fill="auto"/>
          </w:tcPr>
          <w:p w14:paraId="0CC72746" w14:textId="77777777" w:rsidR="004B334D" w:rsidRPr="00C51CE2" w:rsidRDefault="004B334D" w:rsidP="007E4CDF">
            <w:pPr>
              <w:jc w:val="center"/>
              <w:rPr>
                <w:color w:val="000000" w:themeColor="text1"/>
                <w:sz w:val="16"/>
                <w:szCs w:val="16"/>
              </w:rPr>
            </w:pPr>
            <w:r w:rsidRPr="00C51CE2">
              <w:rPr>
                <w:color w:val="000000" w:themeColor="text1"/>
                <w:sz w:val="16"/>
                <w:szCs w:val="16"/>
              </w:rPr>
              <w:t>10.61</w:t>
            </w:r>
          </w:p>
        </w:tc>
        <w:tc>
          <w:tcPr>
            <w:tcW w:w="1276" w:type="dxa"/>
            <w:tcBorders>
              <w:top w:val="single" w:sz="4" w:space="0" w:color="auto"/>
              <w:bottom w:val="single" w:sz="4" w:space="0" w:color="auto"/>
            </w:tcBorders>
            <w:shd w:val="clear" w:color="auto" w:fill="auto"/>
            <w:hideMark/>
          </w:tcPr>
          <w:p w14:paraId="4F3A5862" w14:textId="77777777" w:rsidR="004B334D" w:rsidRPr="00C51CE2" w:rsidRDefault="004B334D" w:rsidP="007E4CDF">
            <w:pPr>
              <w:rPr>
                <w:color w:val="000000" w:themeColor="text1"/>
                <w:sz w:val="16"/>
                <w:szCs w:val="16"/>
              </w:rPr>
            </w:pPr>
            <w:r w:rsidRPr="00C51CE2">
              <w:rPr>
                <w:color w:val="000000" w:themeColor="text1"/>
                <w:sz w:val="16"/>
                <w:szCs w:val="16"/>
              </w:rPr>
              <w:t>t=-.186</w:t>
            </w:r>
            <w:r w:rsidRPr="00C51CE2">
              <w:rPr>
                <w:color w:val="000000" w:themeColor="text1"/>
                <w:sz w:val="16"/>
                <w:szCs w:val="16"/>
              </w:rPr>
              <w:br/>
              <w:t>Sig. (2-tailed) =.852</w:t>
            </w:r>
            <w:r w:rsidRPr="00C51CE2">
              <w:rPr>
                <w:color w:val="000000" w:themeColor="text1"/>
                <w:sz w:val="16"/>
                <w:szCs w:val="16"/>
              </w:rPr>
              <w:br/>
              <w:t>(p&gt;.05)</w:t>
            </w:r>
          </w:p>
        </w:tc>
        <w:tc>
          <w:tcPr>
            <w:tcW w:w="708" w:type="dxa"/>
            <w:tcBorders>
              <w:top w:val="single" w:sz="4" w:space="0" w:color="auto"/>
              <w:bottom w:val="single" w:sz="4" w:space="0" w:color="auto"/>
            </w:tcBorders>
            <w:shd w:val="clear" w:color="auto" w:fill="auto"/>
            <w:hideMark/>
          </w:tcPr>
          <w:p w14:paraId="0C5D8B09" w14:textId="77777777" w:rsidR="004B334D" w:rsidRPr="00C51CE2" w:rsidRDefault="004B334D" w:rsidP="007E4CDF">
            <w:pPr>
              <w:jc w:val="center"/>
              <w:rPr>
                <w:color w:val="000000" w:themeColor="text1"/>
                <w:sz w:val="16"/>
                <w:szCs w:val="16"/>
              </w:rPr>
            </w:pPr>
            <w:r w:rsidRPr="00C51CE2">
              <w:rPr>
                <w:color w:val="000000" w:themeColor="text1"/>
                <w:sz w:val="16"/>
                <w:szCs w:val="16"/>
              </w:rPr>
              <w:t>56.56</w:t>
            </w:r>
          </w:p>
        </w:tc>
        <w:tc>
          <w:tcPr>
            <w:tcW w:w="851" w:type="dxa"/>
            <w:tcBorders>
              <w:top w:val="single" w:sz="4" w:space="0" w:color="auto"/>
              <w:bottom w:val="single" w:sz="4" w:space="0" w:color="auto"/>
            </w:tcBorders>
            <w:shd w:val="clear" w:color="auto" w:fill="auto"/>
            <w:hideMark/>
          </w:tcPr>
          <w:p w14:paraId="7BAB8D2A" w14:textId="77777777" w:rsidR="004B334D" w:rsidRPr="00C51CE2" w:rsidRDefault="004B334D" w:rsidP="007E4CDF">
            <w:pPr>
              <w:jc w:val="center"/>
              <w:rPr>
                <w:color w:val="000000" w:themeColor="text1"/>
                <w:sz w:val="16"/>
                <w:szCs w:val="16"/>
              </w:rPr>
            </w:pPr>
            <w:r w:rsidRPr="00C51CE2">
              <w:rPr>
                <w:color w:val="000000" w:themeColor="text1"/>
                <w:sz w:val="16"/>
                <w:szCs w:val="16"/>
              </w:rPr>
              <w:t>12.86</w:t>
            </w:r>
          </w:p>
        </w:tc>
        <w:tc>
          <w:tcPr>
            <w:tcW w:w="850" w:type="dxa"/>
            <w:tcBorders>
              <w:top w:val="single" w:sz="4" w:space="0" w:color="auto"/>
              <w:bottom w:val="single" w:sz="4" w:space="0" w:color="auto"/>
            </w:tcBorders>
            <w:shd w:val="clear" w:color="auto" w:fill="auto"/>
            <w:hideMark/>
          </w:tcPr>
          <w:p w14:paraId="7F538D99" w14:textId="77777777" w:rsidR="004B334D" w:rsidRPr="00C51CE2" w:rsidRDefault="004B334D" w:rsidP="007E4CDF">
            <w:pPr>
              <w:jc w:val="center"/>
              <w:rPr>
                <w:color w:val="000000" w:themeColor="text1"/>
                <w:sz w:val="16"/>
                <w:szCs w:val="16"/>
              </w:rPr>
            </w:pPr>
            <w:r w:rsidRPr="00C51CE2">
              <w:rPr>
                <w:color w:val="000000" w:themeColor="text1"/>
                <w:sz w:val="16"/>
                <w:szCs w:val="16"/>
              </w:rPr>
              <w:t>58.48</w:t>
            </w:r>
          </w:p>
        </w:tc>
        <w:tc>
          <w:tcPr>
            <w:tcW w:w="709" w:type="dxa"/>
            <w:tcBorders>
              <w:top w:val="single" w:sz="4" w:space="0" w:color="auto"/>
              <w:bottom w:val="single" w:sz="4" w:space="0" w:color="auto"/>
            </w:tcBorders>
            <w:shd w:val="clear" w:color="auto" w:fill="auto"/>
            <w:hideMark/>
          </w:tcPr>
          <w:p w14:paraId="436C24D6" w14:textId="77777777" w:rsidR="004B334D" w:rsidRPr="00C51CE2" w:rsidRDefault="004B334D" w:rsidP="007E4CDF">
            <w:pPr>
              <w:jc w:val="center"/>
              <w:rPr>
                <w:color w:val="000000" w:themeColor="text1"/>
                <w:sz w:val="16"/>
                <w:szCs w:val="16"/>
              </w:rPr>
            </w:pPr>
            <w:r w:rsidRPr="00C51CE2">
              <w:rPr>
                <w:color w:val="000000" w:themeColor="text1"/>
                <w:sz w:val="16"/>
                <w:szCs w:val="16"/>
              </w:rPr>
              <w:t>9.41</w:t>
            </w:r>
          </w:p>
        </w:tc>
        <w:tc>
          <w:tcPr>
            <w:tcW w:w="1134" w:type="dxa"/>
            <w:tcBorders>
              <w:top w:val="single" w:sz="4" w:space="0" w:color="auto"/>
              <w:bottom w:val="single" w:sz="4" w:space="0" w:color="auto"/>
            </w:tcBorders>
            <w:shd w:val="clear" w:color="auto" w:fill="auto"/>
            <w:hideMark/>
          </w:tcPr>
          <w:p w14:paraId="26CE0221" w14:textId="77777777" w:rsidR="004B334D" w:rsidRPr="00C51CE2" w:rsidRDefault="004B334D" w:rsidP="007E4CDF">
            <w:pPr>
              <w:rPr>
                <w:color w:val="000000" w:themeColor="text1"/>
                <w:sz w:val="16"/>
                <w:szCs w:val="16"/>
              </w:rPr>
            </w:pPr>
            <w:r w:rsidRPr="00C51CE2">
              <w:rPr>
                <w:color w:val="000000" w:themeColor="text1"/>
                <w:sz w:val="16"/>
                <w:szCs w:val="16"/>
              </w:rPr>
              <w:t>t=-.791</w:t>
            </w:r>
            <w:r w:rsidRPr="00C51CE2">
              <w:rPr>
                <w:color w:val="000000" w:themeColor="text1"/>
                <w:sz w:val="16"/>
                <w:szCs w:val="16"/>
              </w:rPr>
              <w:br/>
              <w:t>Sig. (2-tailed)= .431; (p&gt;.05)</w:t>
            </w:r>
          </w:p>
        </w:tc>
        <w:tc>
          <w:tcPr>
            <w:tcW w:w="709" w:type="dxa"/>
            <w:tcBorders>
              <w:top w:val="single" w:sz="4" w:space="0" w:color="auto"/>
            </w:tcBorders>
          </w:tcPr>
          <w:p w14:paraId="48348467" w14:textId="77777777" w:rsidR="004B334D" w:rsidRPr="00C51CE2" w:rsidRDefault="004B334D" w:rsidP="007E4CDF">
            <w:pPr>
              <w:rPr>
                <w:color w:val="000000" w:themeColor="text1"/>
                <w:sz w:val="16"/>
                <w:szCs w:val="16"/>
              </w:rPr>
            </w:pPr>
            <w:r w:rsidRPr="00C51CE2">
              <w:rPr>
                <w:color w:val="000000" w:themeColor="text1"/>
                <w:sz w:val="16"/>
                <w:szCs w:val="16"/>
              </w:rPr>
              <w:t>57.70</w:t>
            </w:r>
          </w:p>
        </w:tc>
        <w:tc>
          <w:tcPr>
            <w:tcW w:w="709" w:type="dxa"/>
            <w:tcBorders>
              <w:top w:val="single" w:sz="4" w:space="0" w:color="auto"/>
            </w:tcBorders>
          </w:tcPr>
          <w:p w14:paraId="21C84A26" w14:textId="77777777" w:rsidR="004B334D" w:rsidRPr="00C51CE2" w:rsidRDefault="004B334D" w:rsidP="007E4CDF">
            <w:pPr>
              <w:rPr>
                <w:color w:val="000000" w:themeColor="text1"/>
                <w:sz w:val="16"/>
                <w:szCs w:val="16"/>
              </w:rPr>
            </w:pPr>
            <w:r w:rsidRPr="00C51CE2">
              <w:rPr>
                <w:color w:val="000000" w:themeColor="text1"/>
                <w:sz w:val="16"/>
                <w:szCs w:val="16"/>
              </w:rPr>
              <w:t>10.91</w:t>
            </w:r>
          </w:p>
        </w:tc>
        <w:tc>
          <w:tcPr>
            <w:tcW w:w="708" w:type="dxa"/>
            <w:tcBorders>
              <w:top w:val="single" w:sz="4" w:space="0" w:color="auto"/>
            </w:tcBorders>
          </w:tcPr>
          <w:p w14:paraId="1BD14868" w14:textId="77777777" w:rsidR="004B334D" w:rsidRPr="00C51CE2" w:rsidRDefault="004B334D" w:rsidP="007E4CDF">
            <w:pPr>
              <w:rPr>
                <w:color w:val="000000" w:themeColor="text1"/>
                <w:sz w:val="16"/>
                <w:szCs w:val="16"/>
              </w:rPr>
            </w:pPr>
            <w:r w:rsidRPr="00C51CE2">
              <w:rPr>
                <w:color w:val="000000" w:themeColor="text1"/>
                <w:sz w:val="16"/>
                <w:szCs w:val="16"/>
              </w:rPr>
              <w:t>57.60</w:t>
            </w:r>
          </w:p>
        </w:tc>
        <w:tc>
          <w:tcPr>
            <w:tcW w:w="709" w:type="dxa"/>
            <w:tcBorders>
              <w:top w:val="single" w:sz="4" w:space="0" w:color="auto"/>
            </w:tcBorders>
          </w:tcPr>
          <w:p w14:paraId="46D384E3" w14:textId="77777777" w:rsidR="004B334D" w:rsidRPr="00C51CE2" w:rsidRDefault="004B334D" w:rsidP="007E4CDF">
            <w:pPr>
              <w:rPr>
                <w:color w:val="000000" w:themeColor="text1"/>
                <w:sz w:val="16"/>
                <w:szCs w:val="16"/>
              </w:rPr>
            </w:pPr>
            <w:r w:rsidRPr="00C51CE2">
              <w:rPr>
                <w:color w:val="000000" w:themeColor="text1"/>
                <w:sz w:val="16"/>
                <w:szCs w:val="16"/>
              </w:rPr>
              <w:t>11.60</w:t>
            </w:r>
          </w:p>
        </w:tc>
        <w:tc>
          <w:tcPr>
            <w:tcW w:w="851" w:type="dxa"/>
            <w:tcBorders>
              <w:top w:val="single" w:sz="4" w:space="0" w:color="auto"/>
            </w:tcBorders>
          </w:tcPr>
          <w:p w14:paraId="3B9DE0C4" w14:textId="77777777" w:rsidR="004B334D" w:rsidRPr="00C51CE2" w:rsidRDefault="004B334D" w:rsidP="007E4CDF">
            <w:pPr>
              <w:rPr>
                <w:color w:val="000000" w:themeColor="text1"/>
                <w:sz w:val="16"/>
                <w:szCs w:val="16"/>
              </w:rPr>
            </w:pPr>
            <w:r w:rsidRPr="00C51CE2">
              <w:rPr>
                <w:color w:val="000000" w:themeColor="text1"/>
                <w:sz w:val="16"/>
                <w:szCs w:val="16"/>
              </w:rPr>
              <w:t>t=-.072</w:t>
            </w:r>
            <w:r w:rsidRPr="00C51CE2">
              <w:rPr>
                <w:color w:val="000000" w:themeColor="text1"/>
                <w:sz w:val="16"/>
                <w:szCs w:val="16"/>
              </w:rPr>
              <w:br/>
              <w:t>Sig. (2-tailed)= .943; (p&gt;.05)</w:t>
            </w:r>
          </w:p>
        </w:tc>
      </w:tr>
      <w:tr w:rsidR="004B334D" w:rsidRPr="00C51CE2" w14:paraId="1A6D822B" w14:textId="77777777" w:rsidTr="007E4CDF">
        <w:trPr>
          <w:trHeight w:val="736"/>
        </w:trPr>
        <w:tc>
          <w:tcPr>
            <w:tcW w:w="959" w:type="dxa"/>
            <w:tcBorders>
              <w:top w:val="single" w:sz="4" w:space="0" w:color="auto"/>
              <w:bottom w:val="single" w:sz="4" w:space="0" w:color="auto"/>
            </w:tcBorders>
            <w:shd w:val="clear" w:color="auto" w:fill="auto"/>
            <w:hideMark/>
          </w:tcPr>
          <w:p w14:paraId="3A4A1704" w14:textId="77777777" w:rsidR="004B334D" w:rsidRPr="00C51CE2" w:rsidRDefault="004B334D" w:rsidP="007E4CDF">
            <w:pPr>
              <w:jc w:val="center"/>
              <w:rPr>
                <w:color w:val="000000" w:themeColor="text1"/>
                <w:sz w:val="16"/>
                <w:szCs w:val="16"/>
              </w:rPr>
            </w:pPr>
            <w:r w:rsidRPr="00C51CE2">
              <w:rPr>
                <w:color w:val="000000" w:themeColor="text1"/>
                <w:sz w:val="16"/>
                <w:szCs w:val="16"/>
              </w:rPr>
              <w:t>FS</w:t>
            </w:r>
          </w:p>
        </w:tc>
        <w:tc>
          <w:tcPr>
            <w:tcW w:w="851" w:type="dxa"/>
            <w:tcBorders>
              <w:top w:val="single" w:sz="4" w:space="0" w:color="auto"/>
              <w:bottom w:val="single" w:sz="4" w:space="0" w:color="auto"/>
            </w:tcBorders>
            <w:shd w:val="clear" w:color="auto" w:fill="auto"/>
          </w:tcPr>
          <w:p w14:paraId="4761BE42" w14:textId="77777777" w:rsidR="004B334D" w:rsidRPr="00C51CE2" w:rsidRDefault="004B334D" w:rsidP="007E4CDF">
            <w:pPr>
              <w:jc w:val="center"/>
              <w:rPr>
                <w:color w:val="000000" w:themeColor="text1"/>
                <w:sz w:val="16"/>
                <w:szCs w:val="16"/>
              </w:rPr>
            </w:pPr>
            <w:r w:rsidRPr="00C51CE2">
              <w:rPr>
                <w:color w:val="000000" w:themeColor="text1"/>
                <w:sz w:val="16"/>
                <w:szCs w:val="16"/>
              </w:rPr>
              <w:t>284.93</w:t>
            </w:r>
          </w:p>
        </w:tc>
        <w:tc>
          <w:tcPr>
            <w:tcW w:w="709" w:type="dxa"/>
            <w:tcBorders>
              <w:top w:val="single" w:sz="4" w:space="0" w:color="auto"/>
              <w:bottom w:val="single" w:sz="4" w:space="0" w:color="auto"/>
            </w:tcBorders>
            <w:shd w:val="clear" w:color="auto" w:fill="auto"/>
          </w:tcPr>
          <w:p w14:paraId="0BCCC099" w14:textId="77777777" w:rsidR="004B334D" w:rsidRPr="00C51CE2" w:rsidRDefault="004B334D" w:rsidP="007E4CDF">
            <w:pPr>
              <w:jc w:val="center"/>
              <w:rPr>
                <w:color w:val="000000" w:themeColor="text1"/>
                <w:sz w:val="16"/>
                <w:szCs w:val="16"/>
              </w:rPr>
            </w:pPr>
            <w:r w:rsidRPr="00C51CE2">
              <w:rPr>
                <w:color w:val="000000" w:themeColor="text1"/>
                <w:sz w:val="16"/>
                <w:szCs w:val="16"/>
              </w:rPr>
              <w:t>54.11</w:t>
            </w:r>
          </w:p>
        </w:tc>
        <w:tc>
          <w:tcPr>
            <w:tcW w:w="850" w:type="dxa"/>
            <w:tcBorders>
              <w:top w:val="single" w:sz="4" w:space="0" w:color="auto"/>
              <w:bottom w:val="single" w:sz="4" w:space="0" w:color="auto"/>
            </w:tcBorders>
            <w:shd w:val="clear" w:color="auto" w:fill="auto"/>
          </w:tcPr>
          <w:p w14:paraId="49056029" w14:textId="77777777" w:rsidR="004B334D" w:rsidRPr="00C51CE2" w:rsidRDefault="004B334D" w:rsidP="007E4CDF">
            <w:pPr>
              <w:jc w:val="center"/>
              <w:rPr>
                <w:color w:val="000000" w:themeColor="text1"/>
                <w:sz w:val="16"/>
                <w:szCs w:val="16"/>
              </w:rPr>
            </w:pPr>
            <w:r w:rsidRPr="00C51CE2">
              <w:rPr>
                <w:color w:val="000000" w:themeColor="text1"/>
                <w:sz w:val="16"/>
                <w:szCs w:val="16"/>
              </w:rPr>
              <w:t>288.26</w:t>
            </w:r>
          </w:p>
        </w:tc>
        <w:tc>
          <w:tcPr>
            <w:tcW w:w="709" w:type="dxa"/>
            <w:tcBorders>
              <w:top w:val="single" w:sz="4" w:space="0" w:color="auto"/>
              <w:bottom w:val="single" w:sz="4" w:space="0" w:color="auto"/>
            </w:tcBorders>
            <w:shd w:val="clear" w:color="auto" w:fill="auto"/>
          </w:tcPr>
          <w:p w14:paraId="6E46CFAC" w14:textId="77777777" w:rsidR="004B334D" w:rsidRPr="00C51CE2" w:rsidRDefault="004B334D" w:rsidP="007E4CDF">
            <w:pPr>
              <w:jc w:val="center"/>
              <w:rPr>
                <w:color w:val="000000" w:themeColor="text1"/>
                <w:sz w:val="16"/>
                <w:szCs w:val="16"/>
              </w:rPr>
            </w:pPr>
            <w:r w:rsidRPr="00C51CE2">
              <w:rPr>
                <w:color w:val="000000" w:themeColor="text1"/>
                <w:sz w:val="16"/>
                <w:szCs w:val="16"/>
              </w:rPr>
              <w:t>46.96</w:t>
            </w:r>
          </w:p>
        </w:tc>
        <w:tc>
          <w:tcPr>
            <w:tcW w:w="1276" w:type="dxa"/>
            <w:tcBorders>
              <w:top w:val="single" w:sz="4" w:space="0" w:color="auto"/>
              <w:bottom w:val="single" w:sz="4" w:space="0" w:color="auto"/>
            </w:tcBorders>
            <w:shd w:val="clear" w:color="auto" w:fill="auto"/>
            <w:hideMark/>
          </w:tcPr>
          <w:p w14:paraId="2D99DDF7" w14:textId="77777777" w:rsidR="004B334D" w:rsidRPr="00C51CE2" w:rsidRDefault="004B334D" w:rsidP="007E4CDF">
            <w:pPr>
              <w:rPr>
                <w:color w:val="000000" w:themeColor="text1"/>
                <w:sz w:val="16"/>
                <w:szCs w:val="16"/>
              </w:rPr>
            </w:pPr>
            <w:r w:rsidRPr="00C51CE2">
              <w:rPr>
                <w:color w:val="000000" w:themeColor="text1"/>
                <w:sz w:val="16"/>
                <w:szCs w:val="16"/>
              </w:rPr>
              <w:t>t=-.413          Sig. (2-tailed) = .680 (p&gt;.05)</w:t>
            </w:r>
          </w:p>
        </w:tc>
        <w:tc>
          <w:tcPr>
            <w:tcW w:w="708" w:type="dxa"/>
            <w:tcBorders>
              <w:top w:val="single" w:sz="4" w:space="0" w:color="auto"/>
              <w:bottom w:val="single" w:sz="4" w:space="0" w:color="auto"/>
            </w:tcBorders>
            <w:shd w:val="clear" w:color="auto" w:fill="auto"/>
            <w:hideMark/>
          </w:tcPr>
          <w:p w14:paraId="02E5168A" w14:textId="77777777" w:rsidR="004B334D" w:rsidRPr="00C51CE2" w:rsidRDefault="004B334D" w:rsidP="007E4CDF">
            <w:pPr>
              <w:jc w:val="center"/>
              <w:rPr>
                <w:color w:val="000000" w:themeColor="text1"/>
                <w:sz w:val="16"/>
                <w:szCs w:val="16"/>
              </w:rPr>
            </w:pPr>
            <w:r w:rsidRPr="00C51CE2">
              <w:rPr>
                <w:color w:val="000000" w:themeColor="text1"/>
                <w:sz w:val="16"/>
                <w:szCs w:val="16"/>
              </w:rPr>
              <w:t>275.41</w:t>
            </w:r>
          </w:p>
        </w:tc>
        <w:tc>
          <w:tcPr>
            <w:tcW w:w="851" w:type="dxa"/>
            <w:tcBorders>
              <w:top w:val="single" w:sz="4" w:space="0" w:color="auto"/>
              <w:bottom w:val="single" w:sz="4" w:space="0" w:color="auto"/>
            </w:tcBorders>
            <w:shd w:val="clear" w:color="auto" w:fill="auto"/>
            <w:hideMark/>
          </w:tcPr>
          <w:p w14:paraId="299E5C63" w14:textId="77777777" w:rsidR="004B334D" w:rsidRPr="00C51CE2" w:rsidRDefault="004B334D" w:rsidP="007E4CDF">
            <w:pPr>
              <w:jc w:val="center"/>
              <w:rPr>
                <w:color w:val="000000" w:themeColor="text1"/>
                <w:sz w:val="16"/>
                <w:szCs w:val="16"/>
              </w:rPr>
            </w:pPr>
            <w:r w:rsidRPr="00C51CE2">
              <w:rPr>
                <w:color w:val="000000" w:themeColor="text1"/>
                <w:sz w:val="16"/>
                <w:szCs w:val="16"/>
              </w:rPr>
              <w:t>57.42</w:t>
            </w:r>
          </w:p>
        </w:tc>
        <w:tc>
          <w:tcPr>
            <w:tcW w:w="850" w:type="dxa"/>
            <w:tcBorders>
              <w:top w:val="single" w:sz="4" w:space="0" w:color="auto"/>
              <w:bottom w:val="single" w:sz="4" w:space="0" w:color="auto"/>
            </w:tcBorders>
            <w:shd w:val="clear" w:color="auto" w:fill="auto"/>
            <w:hideMark/>
          </w:tcPr>
          <w:p w14:paraId="3B4B1AE8" w14:textId="77777777" w:rsidR="004B334D" w:rsidRPr="00C51CE2" w:rsidRDefault="004B334D" w:rsidP="007E4CDF">
            <w:pPr>
              <w:jc w:val="center"/>
              <w:rPr>
                <w:color w:val="000000" w:themeColor="text1"/>
                <w:sz w:val="16"/>
                <w:szCs w:val="16"/>
              </w:rPr>
            </w:pPr>
            <w:r w:rsidRPr="00C51CE2">
              <w:rPr>
                <w:color w:val="000000" w:themeColor="text1"/>
                <w:sz w:val="16"/>
                <w:szCs w:val="16"/>
              </w:rPr>
              <w:t>275.98</w:t>
            </w:r>
          </w:p>
        </w:tc>
        <w:tc>
          <w:tcPr>
            <w:tcW w:w="709" w:type="dxa"/>
            <w:tcBorders>
              <w:top w:val="single" w:sz="4" w:space="0" w:color="auto"/>
              <w:bottom w:val="single" w:sz="4" w:space="0" w:color="auto"/>
            </w:tcBorders>
            <w:shd w:val="clear" w:color="auto" w:fill="auto"/>
            <w:hideMark/>
          </w:tcPr>
          <w:p w14:paraId="4B541810" w14:textId="77777777" w:rsidR="004B334D" w:rsidRPr="00C51CE2" w:rsidRDefault="004B334D" w:rsidP="007E4CDF">
            <w:pPr>
              <w:jc w:val="center"/>
              <w:rPr>
                <w:color w:val="000000" w:themeColor="text1"/>
                <w:sz w:val="16"/>
                <w:szCs w:val="16"/>
              </w:rPr>
            </w:pPr>
            <w:r w:rsidRPr="00C51CE2">
              <w:rPr>
                <w:color w:val="000000" w:themeColor="text1"/>
                <w:sz w:val="16"/>
                <w:szCs w:val="16"/>
              </w:rPr>
              <w:t>45.48</w:t>
            </w:r>
          </w:p>
        </w:tc>
        <w:tc>
          <w:tcPr>
            <w:tcW w:w="1134" w:type="dxa"/>
            <w:tcBorders>
              <w:top w:val="single" w:sz="4" w:space="0" w:color="auto"/>
              <w:bottom w:val="single" w:sz="4" w:space="0" w:color="auto"/>
            </w:tcBorders>
            <w:shd w:val="clear" w:color="auto" w:fill="auto"/>
            <w:hideMark/>
          </w:tcPr>
          <w:p w14:paraId="742BF939" w14:textId="77777777" w:rsidR="004B334D" w:rsidRPr="00C51CE2" w:rsidRDefault="004B334D" w:rsidP="007E4CDF">
            <w:pPr>
              <w:rPr>
                <w:color w:val="000000" w:themeColor="text1"/>
                <w:sz w:val="16"/>
                <w:szCs w:val="16"/>
              </w:rPr>
            </w:pPr>
            <w:r w:rsidRPr="00C51CE2">
              <w:rPr>
                <w:color w:val="000000" w:themeColor="text1"/>
                <w:sz w:val="16"/>
                <w:szCs w:val="16"/>
              </w:rPr>
              <w:t>t=-.050         Sig. (2-tailed)= .960; (p&gt;.05)</w:t>
            </w:r>
          </w:p>
        </w:tc>
        <w:tc>
          <w:tcPr>
            <w:tcW w:w="709" w:type="dxa"/>
            <w:tcBorders>
              <w:top w:val="single" w:sz="4" w:space="0" w:color="auto"/>
            </w:tcBorders>
          </w:tcPr>
          <w:p w14:paraId="5604F09F" w14:textId="77777777" w:rsidR="004B334D" w:rsidRPr="00C51CE2" w:rsidRDefault="004B334D" w:rsidP="007E4CDF">
            <w:pPr>
              <w:rPr>
                <w:color w:val="000000" w:themeColor="text1"/>
                <w:sz w:val="16"/>
                <w:szCs w:val="16"/>
              </w:rPr>
            </w:pPr>
            <w:r w:rsidRPr="00C51CE2">
              <w:rPr>
                <w:color w:val="000000" w:themeColor="text1"/>
                <w:sz w:val="16"/>
                <w:szCs w:val="16"/>
              </w:rPr>
              <w:t>275.75</w:t>
            </w:r>
          </w:p>
        </w:tc>
        <w:tc>
          <w:tcPr>
            <w:tcW w:w="709" w:type="dxa"/>
            <w:tcBorders>
              <w:top w:val="single" w:sz="4" w:space="0" w:color="auto"/>
            </w:tcBorders>
          </w:tcPr>
          <w:p w14:paraId="168FF9C7" w14:textId="77777777" w:rsidR="004B334D" w:rsidRPr="00C51CE2" w:rsidRDefault="004B334D" w:rsidP="007E4CDF">
            <w:pPr>
              <w:rPr>
                <w:color w:val="000000" w:themeColor="text1"/>
                <w:sz w:val="16"/>
                <w:szCs w:val="16"/>
              </w:rPr>
            </w:pPr>
            <w:r w:rsidRPr="00C51CE2">
              <w:rPr>
                <w:color w:val="000000" w:themeColor="text1"/>
                <w:sz w:val="16"/>
                <w:szCs w:val="16"/>
              </w:rPr>
              <w:t>50.32</w:t>
            </w:r>
          </w:p>
        </w:tc>
        <w:tc>
          <w:tcPr>
            <w:tcW w:w="708" w:type="dxa"/>
            <w:tcBorders>
              <w:top w:val="single" w:sz="4" w:space="0" w:color="auto"/>
            </w:tcBorders>
          </w:tcPr>
          <w:p w14:paraId="2C6DFDFE" w14:textId="77777777" w:rsidR="004B334D" w:rsidRPr="00C51CE2" w:rsidRDefault="004B334D" w:rsidP="007E4CDF">
            <w:pPr>
              <w:rPr>
                <w:color w:val="000000" w:themeColor="text1"/>
                <w:sz w:val="16"/>
                <w:szCs w:val="16"/>
              </w:rPr>
            </w:pPr>
            <w:r w:rsidRPr="00C51CE2">
              <w:rPr>
                <w:color w:val="000000" w:themeColor="text1"/>
                <w:sz w:val="16"/>
                <w:szCs w:val="16"/>
              </w:rPr>
              <w:t>286.43</w:t>
            </w:r>
          </w:p>
        </w:tc>
        <w:tc>
          <w:tcPr>
            <w:tcW w:w="709" w:type="dxa"/>
            <w:tcBorders>
              <w:top w:val="single" w:sz="4" w:space="0" w:color="auto"/>
            </w:tcBorders>
          </w:tcPr>
          <w:p w14:paraId="12B5C3AE" w14:textId="77777777" w:rsidR="004B334D" w:rsidRPr="00C51CE2" w:rsidRDefault="004B334D" w:rsidP="007E4CDF">
            <w:pPr>
              <w:rPr>
                <w:color w:val="000000" w:themeColor="text1"/>
                <w:sz w:val="16"/>
                <w:szCs w:val="16"/>
              </w:rPr>
            </w:pPr>
            <w:r w:rsidRPr="00C51CE2">
              <w:rPr>
                <w:color w:val="000000" w:themeColor="text1"/>
                <w:sz w:val="16"/>
                <w:szCs w:val="16"/>
              </w:rPr>
              <w:t>50.88</w:t>
            </w:r>
          </w:p>
        </w:tc>
        <w:tc>
          <w:tcPr>
            <w:tcW w:w="851" w:type="dxa"/>
            <w:tcBorders>
              <w:top w:val="single" w:sz="4" w:space="0" w:color="auto"/>
            </w:tcBorders>
          </w:tcPr>
          <w:p w14:paraId="6220ABD9" w14:textId="77777777" w:rsidR="004B334D" w:rsidRPr="00C51CE2" w:rsidRDefault="004B334D" w:rsidP="007E4CDF">
            <w:pPr>
              <w:rPr>
                <w:color w:val="000000" w:themeColor="text1"/>
                <w:sz w:val="16"/>
                <w:szCs w:val="16"/>
              </w:rPr>
            </w:pPr>
            <w:r w:rsidRPr="00C51CE2">
              <w:rPr>
                <w:color w:val="000000" w:themeColor="text1"/>
                <w:sz w:val="16"/>
                <w:szCs w:val="16"/>
              </w:rPr>
              <w:t>t=1.567</w:t>
            </w:r>
            <w:r w:rsidRPr="00C51CE2">
              <w:rPr>
                <w:color w:val="000000" w:themeColor="text1"/>
                <w:sz w:val="16"/>
                <w:szCs w:val="16"/>
              </w:rPr>
              <w:br/>
              <w:t>Sig. (2-tailed)= .118; (p&gt;.05)</w:t>
            </w:r>
          </w:p>
        </w:tc>
      </w:tr>
    </w:tbl>
    <w:p w14:paraId="76277965" w14:textId="77777777" w:rsidR="004B334D" w:rsidRPr="00C51CE2" w:rsidRDefault="004B334D" w:rsidP="004B334D">
      <w:pPr>
        <w:widowControl w:val="0"/>
        <w:autoSpaceDE w:val="0"/>
        <w:autoSpaceDN w:val="0"/>
        <w:adjustRightInd w:val="0"/>
        <w:jc w:val="both"/>
        <w:rPr>
          <w:color w:val="000000" w:themeColor="text1"/>
        </w:rPr>
      </w:pPr>
    </w:p>
    <w:p w14:paraId="6369065C" w14:textId="77777777" w:rsidR="004B334D" w:rsidRPr="00C51CE2" w:rsidRDefault="004B334D" w:rsidP="004B334D">
      <w:pPr>
        <w:widowControl w:val="0"/>
        <w:autoSpaceDE w:val="0"/>
        <w:autoSpaceDN w:val="0"/>
        <w:adjustRightInd w:val="0"/>
        <w:rPr>
          <w:color w:val="000000" w:themeColor="text1"/>
        </w:rPr>
        <w:sectPr w:rsidR="004B334D" w:rsidRPr="00C51CE2" w:rsidSect="00B907A7">
          <w:pgSz w:w="16817" w:h="11901" w:orient="landscape"/>
          <w:pgMar w:top="1701" w:right="1701" w:bottom="2268" w:left="2268" w:header="709" w:footer="709" w:gutter="0"/>
          <w:cols w:space="708"/>
          <w:docGrid w:linePitch="360"/>
        </w:sectPr>
      </w:pPr>
      <w:r w:rsidRPr="00C51CE2">
        <w:rPr>
          <w:color w:val="000000" w:themeColor="text1"/>
        </w:rPr>
        <w:t>Notes: HIS= Islamic High School; PHS=Public High School</w:t>
      </w:r>
    </w:p>
    <w:p w14:paraId="4F25DC33" w14:textId="77777777" w:rsidR="004B334D" w:rsidRPr="00C51CE2" w:rsidRDefault="004B334D" w:rsidP="004B334D">
      <w:pPr>
        <w:jc w:val="both"/>
        <w:rPr>
          <w:b/>
          <w:color w:val="000000" w:themeColor="text1"/>
        </w:rPr>
      </w:pPr>
      <w:r w:rsidRPr="00C51CE2">
        <w:rPr>
          <w:b/>
          <w:color w:val="000000" w:themeColor="text1"/>
        </w:rPr>
        <w:lastRenderedPageBreak/>
        <w:t>Discussion</w:t>
      </w:r>
    </w:p>
    <w:p w14:paraId="7A7D7620" w14:textId="77777777" w:rsidR="004B334D" w:rsidRPr="00C51CE2" w:rsidRDefault="004B334D" w:rsidP="004B334D">
      <w:pPr>
        <w:widowControl w:val="0"/>
        <w:autoSpaceDE w:val="0"/>
        <w:autoSpaceDN w:val="0"/>
        <w:adjustRightInd w:val="0"/>
        <w:jc w:val="both"/>
        <w:rPr>
          <w:color w:val="000000" w:themeColor="text1"/>
        </w:rPr>
      </w:pPr>
      <w:r w:rsidRPr="00C51CE2">
        <w:rPr>
          <w:color w:val="000000" w:themeColor="text1"/>
        </w:rPr>
        <w:t>The finding according to data analysis displayed in Table 2 suggests most students participating in this study have adequate multicultural self-efficacy levels. In terms of mean scores comparison based on types of schools for testing the first hypothesis, the scores of Islamic and public high schools do not differ significantly. Although almost similar and insignificant, there is one exception in the cultural awareness subscale, where Islamic students have higher mean scores but more spreading (</w:t>
      </w:r>
      <w:r w:rsidRPr="008B37DD">
        <w:rPr>
          <w:i/>
          <w:color w:val="000000" w:themeColor="text1"/>
        </w:rPr>
        <w:t>M</w:t>
      </w:r>
      <w:r w:rsidRPr="00C51CE2">
        <w:rPr>
          <w:color w:val="000000" w:themeColor="text1"/>
        </w:rPr>
        <w:t>=65.20</w:t>
      </w:r>
      <w:r>
        <w:rPr>
          <w:color w:val="000000" w:themeColor="text1"/>
        </w:rPr>
        <w:t>,</w:t>
      </w:r>
      <w:r w:rsidRPr="00C51CE2">
        <w:rPr>
          <w:color w:val="000000" w:themeColor="text1"/>
        </w:rPr>
        <w:t xml:space="preserve"> </w:t>
      </w:r>
      <w:r w:rsidRPr="008B37DD">
        <w:rPr>
          <w:i/>
          <w:color w:val="000000" w:themeColor="text1"/>
        </w:rPr>
        <w:t>SD</w:t>
      </w:r>
      <w:r w:rsidRPr="00C51CE2">
        <w:rPr>
          <w:color w:val="000000" w:themeColor="text1"/>
        </w:rPr>
        <w:t>=11.99) than those of public high school (</w:t>
      </w:r>
      <w:r w:rsidRPr="008B37DD">
        <w:rPr>
          <w:i/>
          <w:color w:val="000000" w:themeColor="text1"/>
        </w:rPr>
        <w:t>M</w:t>
      </w:r>
      <w:r w:rsidRPr="00C51CE2">
        <w:rPr>
          <w:color w:val="000000" w:themeColor="text1"/>
        </w:rPr>
        <w:t>=55.88</w:t>
      </w:r>
      <w:r>
        <w:rPr>
          <w:color w:val="000000" w:themeColor="text1"/>
        </w:rPr>
        <w:t xml:space="preserve">, </w:t>
      </w:r>
      <w:r w:rsidRPr="008B37DD">
        <w:rPr>
          <w:i/>
          <w:color w:val="000000" w:themeColor="text1"/>
        </w:rPr>
        <w:t>SD</w:t>
      </w:r>
      <w:r w:rsidRPr="00C51CE2">
        <w:rPr>
          <w:color w:val="000000" w:themeColor="text1"/>
        </w:rPr>
        <w:t>=10.82).</w:t>
      </w:r>
    </w:p>
    <w:p w14:paraId="3A29B584" w14:textId="77777777" w:rsidR="004B334D" w:rsidRPr="00C51CE2" w:rsidRDefault="004B334D" w:rsidP="004B334D">
      <w:pPr>
        <w:widowControl w:val="0"/>
        <w:autoSpaceDE w:val="0"/>
        <w:autoSpaceDN w:val="0"/>
        <w:adjustRightInd w:val="0"/>
        <w:jc w:val="both"/>
        <w:rPr>
          <w:color w:val="000000" w:themeColor="text1"/>
        </w:rPr>
      </w:pPr>
    </w:p>
    <w:p w14:paraId="6D256796" w14:textId="77777777" w:rsidR="004B334D" w:rsidRPr="00C51CE2" w:rsidRDefault="004B334D" w:rsidP="004B334D">
      <w:pPr>
        <w:widowControl w:val="0"/>
        <w:autoSpaceDE w:val="0"/>
        <w:autoSpaceDN w:val="0"/>
        <w:adjustRightInd w:val="0"/>
        <w:jc w:val="both"/>
        <w:rPr>
          <w:color w:val="000000" w:themeColor="text1"/>
        </w:rPr>
      </w:pPr>
      <w:r w:rsidRPr="00C51CE2">
        <w:rPr>
          <w:color w:val="000000" w:themeColor="text1"/>
        </w:rPr>
        <w:t xml:space="preserve">Indifferent multicultural self-efficacy levels among Islamic and public high schools have some meanings.  In context of Islamic education, </w:t>
      </w:r>
      <w:proofErr w:type="spellStart"/>
      <w:r w:rsidRPr="00C51CE2">
        <w:rPr>
          <w:color w:val="000000" w:themeColor="text1"/>
        </w:rPr>
        <w:t>Supa’at</w:t>
      </w:r>
      <w:proofErr w:type="spellEnd"/>
      <w:r w:rsidRPr="00C51CE2">
        <w:rPr>
          <w:color w:val="000000" w:themeColor="text1"/>
        </w:rPr>
        <w:t xml:space="preserve"> </w:t>
      </w:r>
      <w:r w:rsidRPr="00C51CE2">
        <w:rPr>
          <w:color w:val="000000" w:themeColor="text1"/>
        </w:rPr>
        <w:fldChar w:fldCharType="begin" w:fldLock="1"/>
      </w:r>
      <w:r w:rsidRPr="00C51CE2">
        <w:rPr>
          <w:color w:val="000000" w:themeColor="text1"/>
        </w:rPr>
        <w:instrText>ADDIN CSL_CITATION {"citationItems":[{"id":"ITEM-1","itemData":{"author":[{"dropping-particle":"","family":"Supa'at","given":"","non-dropping-particle":"","parse-names":false,"suffix":""}],"container-title":"International Seminar on Education “Education Trends for Future Society\"","id":"ITEM-1","issue":"0489","issued":{"date-parts":[["2016"]]},"page":"13-22","publisher":"Muhammadiyah University of Ponorogo","publisher-place":"Ponorogo","title":"The existence and challenge of madrasah","type":"paper-conference"},"suppress-author":1,"uris":["http://www.mendeley.com/documents/?uuid=616e445c-4b74-426a-a9f7-15e9bd1770ee"]}],"mendeley":{"formattedCitation":"(2016)","plainTextFormattedCitation":"(2016)","previouslyFormattedCitation":"(2016)"},"properties":{"noteIndex":0},"schema":"https://github.com/citation-style-language/schema/raw/master/csl-citation.json"}</w:instrText>
      </w:r>
      <w:r w:rsidRPr="00C51CE2">
        <w:rPr>
          <w:color w:val="000000" w:themeColor="text1"/>
        </w:rPr>
        <w:fldChar w:fldCharType="separate"/>
      </w:r>
      <w:r w:rsidRPr="00C51CE2">
        <w:rPr>
          <w:noProof/>
          <w:color w:val="000000" w:themeColor="text1"/>
        </w:rPr>
        <w:t>(2016)</w:t>
      </w:r>
      <w:r w:rsidRPr="00C51CE2">
        <w:rPr>
          <w:color w:val="000000" w:themeColor="text1"/>
        </w:rPr>
        <w:fldChar w:fldCharType="end"/>
      </w:r>
      <w:r w:rsidRPr="00C51CE2">
        <w:rPr>
          <w:color w:val="000000" w:themeColor="text1"/>
        </w:rPr>
        <w:t xml:space="preserve"> dubbed Islamic high school as “High School-Plus” for its additional graduate competency standard, equal learning between general subjects, and religious subjects emphasizing the character-building and appealing personality concerning the teaching of Islam underlying the development of </w:t>
      </w:r>
      <w:proofErr w:type="spellStart"/>
      <w:r w:rsidRPr="00C51CE2">
        <w:rPr>
          <w:i/>
          <w:color w:val="000000" w:themeColor="text1"/>
        </w:rPr>
        <w:t>ahlakul</w:t>
      </w:r>
      <w:proofErr w:type="spellEnd"/>
      <w:r w:rsidRPr="00C51CE2">
        <w:rPr>
          <w:i/>
          <w:color w:val="000000" w:themeColor="text1"/>
        </w:rPr>
        <w:t xml:space="preserve"> </w:t>
      </w:r>
      <w:proofErr w:type="spellStart"/>
      <w:r w:rsidRPr="00C51CE2">
        <w:rPr>
          <w:i/>
          <w:color w:val="000000" w:themeColor="text1"/>
        </w:rPr>
        <w:t>karimah</w:t>
      </w:r>
      <w:proofErr w:type="spellEnd"/>
      <w:r w:rsidRPr="00C51CE2">
        <w:rPr>
          <w:color w:val="000000" w:themeColor="text1"/>
        </w:rPr>
        <w:t xml:space="preserve"> (good morality). In addition, Abdullah </w:t>
      </w:r>
      <w:r w:rsidRPr="00C51CE2">
        <w:rPr>
          <w:color w:val="000000" w:themeColor="text1"/>
        </w:rPr>
        <w:fldChar w:fldCharType="begin" w:fldLock="1"/>
      </w:r>
      <w:r w:rsidRPr="00C51CE2">
        <w:rPr>
          <w:color w:val="000000" w:themeColor="text1"/>
        </w:rPr>
        <w:instrText>ADDIN CSL_CITATION {"citationItems":[{"id":"ITEM-1","itemData":{"abstract":"School cultures grow with school ages, school objectives, social changes, and school levels, whose success depends on leadership styles. This study aims to see school culture developments and attainments of the schools. Taking in Kediri, Indonesia, this study used grounded theory and selected Senior Islamic School (MAN): MAN 1, MAN 2 and MAN Tarokan, 12 participants, and employed theme-based analysis. The study revealed MAN 2 is the best to maintain school cultures and achieve better academic attainments. School cultures are derived from (1) values, norms, and behavior; (2). school physical environment: beauty, security, comfort, tranquility, and cleanliness; (3). school system: quality based, principal leadership, discipline and order, rewards and incentives, expectations for achievement, access to information, evaluation, intensive and open communication. Schools with established school cultures achieve better academic and non- academic","author":[{"dropping-particle":"","family":"Abdullah","given":"Muhammad","non-dropping-particle":"","parse-names":false,"suffix":""}],"container-title":"Qudus International Journal of Islamic Studies","id":"ITEM-1","issue":"1","issued":{"date-parts":[["2019"]]},"page":"71-100","title":"School culture to serve performance of madrasah in Indonesia","type":"article-journal","volume":"7"},"suppress-author":1,"uris":["http://www.mendeley.com/documents/?uuid=cec7dab6-cd23-4237-bd1d-86b2e49c8477"]}],"mendeley":{"formattedCitation":"(2019)","plainTextFormattedCitation":"(2019)","previouslyFormattedCitation":"(2019)"},"properties":{"noteIndex":0},"schema":"https://github.com/citation-style-language/schema/raw/master/csl-citation.json"}</w:instrText>
      </w:r>
      <w:r w:rsidRPr="00C51CE2">
        <w:rPr>
          <w:color w:val="000000" w:themeColor="text1"/>
        </w:rPr>
        <w:fldChar w:fldCharType="separate"/>
      </w:r>
      <w:r w:rsidRPr="00C51CE2">
        <w:rPr>
          <w:noProof/>
          <w:color w:val="000000" w:themeColor="text1"/>
        </w:rPr>
        <w:t>(2019)</w:t>
      </w:r>
      <w:r w:rsidRPr="00C51CE2">
        <w:rPr>
          <w:color w:val="000000" w:themeColor="text1"/>
        </w:rPr>
        <w:fldChar w:fldCharType="end"/>
      </w:r>
      <w:r w:rsidRPr="00C51CE2">
        <w:rPr>
          <w:color w:val="000000" w:themeColor="text1"/>
        </w:rPr>
        <w:t xml:space="preserve"> found school culture in Islamic high schools was established through religious-based relationships among teachers, administrators, students, and leaders. Moreover, Islamic high schools also emphasize multicultural values for the students based on the primary teaching of Islam </w:t>
      </w:r>
      <w:r w:rsidRPr="00C51CE2">
        <w:rPr>
          <w:color w:val="000000" w:themeColor="text1"/>
        </w:rPr>
        <w:fldChar w:fldCharType="begin" w:fldLock="1"/>
      </w:r>
      <w:r w:rsidRPr="00C51CE2">
        <w:rPr>
          <w:color w:val="000000" w:themeColor="text1"/>
        </w:rPr>
        <w:instrText>ADDIN CSL_CITATION {"citationItems":[{"id":"ITEM-1","itemData":{"abstract":"… Islamic Religious Education and Ethics are developed with regard to the values of rahmatan … Noble morals include ethics, ethics, and morals as the embodiment of Islamic education. … , and cultivation of religious values, as well as the practice of those values in the life of …","author":[{"dropping-particle":"","family":"Aisida","given":"S","non-dropping-particle":"","parse-names":false,"suffix":""}],"container-title":"EDUTEC: Journal of Education And Technology","id":"ITEM-1","issue":"4","issued":{"date-parts":[["2021"]]},"page":"691-707","title":"Values of Multicultural Islamic Education In Islamic Studies at High School","type":"article-journal","volume":"4"},"uris":["http://www.mendeley.com/documents/?uuid=cf9b9f73-7368-4694-8590-b3bb15ae0aff"]}],"mendeley":{"formattedCitation":"(Aisida, 2021)","plainTextFormattedCitation":"(Aisida, 2021)","previouslyFormattedCitation":"(Aisida, 2021)"},"properties":{"noteIndex":0},"schema":"https://github.com/citation-style-language/schema/raw/master/csl-citation.json"}</w:instrText>
      </w:r>
      <w:r w:rsidRPr="00C51CE2">
        <w:rPr>
          <w:color w:val="000000" w:themeColor="text1"/>
        </w:rPr>
        <w:fldChar w:fldCharType="separate"/>
      </w:r>
      <w:r w:rsidRPr="00C51CE2">
        <w:rPr>
          <w:noProof/>
          <w:color w:val="000000" w:themeColor="text1"/>
        </w:rPr>
        <w:t>(Aisida, 2021)</w:t>
      </w:r>
      <w:r w:rsidRPr="00C51CE2">
        <w:rPr>
          <w:color w:val="000000" w:themeColor="text1"/>
        </w:rPr>
        <w:fldChar w:fldCharType="end"/>
      </w:r>
      <w:r w:rsidRPr="00C51CE2">
        <w:rPr>
          <w:color w:val="000000" w:themeColor="text1"/>
        </w:rPr>
        <w:t xml:space="preserve">. Such efforts are considered the best sources of multicultural self-efficacy to develop. On the other hand, although public high school emphasizes its curriculum on general subjects where religious education is taught as a subject according to students' faith, multicultural education in light of curriculum as all activities provided by the school </w:t>
      </w:r>
      <w:r w:rsidRPr="00C51CE2">
        <w:rPr>
          <w:color w:val="000000" w:themeColor="text1"/>
        </w:rPr>
        <w:fldChar w:fldCharType="begin" w:fldLock="1"/>
      </w:r>
      <w:r w:rsidRPr="00C51CE2">
        <w:rPr>
          <w:color w:val="000000" w:themeColor="text1"/>
        </w:rPr>
        <w:instrText>ADDIN CSL_CITATION {"citationItems":[{"id":"ITEM-1","itemData":{"DOI":"https://doi.org/10.1086/459567 Views: 35","author":[{"dropping-particle":"","family":"Tyler","given":"Ralph W","non-dropping-particle":"","parse-names":false,"suffix":""}],"container-title":"The Elementary School Journal","id":"ITEM-1","issue":"7","issued":{"date-parts":[["1957"]]},"page":"364-374","title":"The Curriculum-Then And Now","type":"article-journal","volume":"57"},"uris":["http://www.mendeley.com/documents/?uuid=3d22e38b-f6a9-4994-b205-0d9eddcf94e4"]}],"mendeley":{"formattedCitation":"(Tyler, 1957)","plainTextFormattedCitation":"(Tyler, 1957)","previouslyFormattedCitation":"(Tyler, 1957)"},"properties":{"noteIndex":0},"schema":"https://github.com/citation-style-language/schema/raw/master/csl-citation.json"}</w:instrText>
      </w:r>
      <w:r w:rsidRPr="00C51CE2">
        <w:rPr>
          <w:color w:val="000000" w:themeColor="text1"/>
        </w:rPr>
        <w:fldChar w:fldCharType="separate"/>
      </w:r>
      <w:r w:rsidRPr="00C51CE2">
        <w:rPr>
          <w:noProof/>
          <w:color w:val="000000" w:themeColor="text1"/>
        </w:rPr>
        <w:t>(Tyler, 1957)</w:t>
      </w:r>
      <w:r w:rsidRPr="00C51CE2">
        <w:rPr>
          <w:color w:val="000000" w:themeColor="text1"/>
        </w:rPr>
        <w:fldChar w:fldCharType="end"/>
      </w:r>
      <w:r w:rsidRPr="00C51CE2">
        <w:rPr>
          <w:color w:val="000000" w:themeColor="text1"/>
        </w:rPr>
        <w:t xml:space="preserve"> has been the source of students’ multicultural self-efficacy. has been the source of students’ multicultural self-efficacy. In other words, teachers, school counselors, and education staff create a conducive atmosphere and academic activities that enable the students to practice multiculturalism.</w:t>
      </w:r>
    </w:p>
    <w:p w14:paraId="4F03CF24" w14:textId="77777777" w:rsidR="004B334D" w:rsidRPr="00C51CE2" w:rsidRDefault="004B334D" w:rsidP="004B334D">
      <w:pPr>
        <w:widowControl w:val="0"/>
        <w:autoSpaceDE w:val="0"/>
        <w:autoSpaceDN w:val="0"/>
        <w:adjustRightInd w:val="0"/>
        <w:jc w:val="both"/>
        <w:rPr>
          <w:color w:val="000000" w:themeColor="text1"/>
        </w:rPr>
      </w:pPr>
    </w:p>
    <w:p w14:paraId="602E7669" w14:textId="77777777" w:rsidR="004B334D" w:rsidRPr="00C51CE2" w:rsidRDefault="004B334D" w:rsidP="004B334D">
      <w:pPr>
        <w:widowControl w:val="0"/>
        <w:autoSpaceDE w:val="0"/>
        <w:autoSpaceDN w:val="0"/>
        <w:adjustRightInd w:val="0"/>
        <w:jc w:val="both"/>
        <w:rPr>
          <w:color w:val="000000" w:themeColor="text1"/>
        </w:rPr>
      </w:pPr>
      <w:r w:rsidRPr="00C51CE2">
        <w:rPr>
          <w:color w:val="000000" w:themeColor="text1"/>
        </w:rPr>
        <w:t xml:space="preserve">Depending on regions in Indonesia where the population may be heterogeneous or homogeneous culturally, students of Islamic and public high schools involved in the current study have equal opportunities to relate with various cultural backgrounds of peers. However, the former may have less chance to experience a multicultural relationship with peers of different faiths, at least in school settings. Logically, those who are less contact will also have less experience in how to deal with it. Despite this difference, the current research suggests that the students of both schools have relatively similar levels in multicultural self-efficacy. The multicultural atmosphere of this region may contribute to such attainment in terms of students enjoying their engagement on many occasions, such as being in neighborhoods, getting along with peers, communal feasts, or holiday feasts. Religious moderation in the community life of these areas suggested by </w:t>
      </w:r>
      <w:r w:rsidRPr="00C51CE2">
        <w:rPr>
          <w:noProof/>
          <w:color w:val="000000" w:themeColor="text1"/>
        </w:rPr>
        <w:t xml:space="preserve">Khalikin &amp; Reslawati </w:t>
      </w:r>
      <w:r w:rsidRPr="00C51CE2">
        <w:rPr>
          <w:color w:val="000000" w:themeColor="text1"/>
        </w:rPr>
        <w:fldChar w:fldCharType="begin" w:fldLock="1"/>
      </w:r>
      <w:r w:rsidRPr="00C51CE2">
        <w:rPr>
          <w:color w:val="000000" w:themeColor="text1"/>
        </w:rPr>
        <w:instrText>ADDIN CSL_CITATION {"citationItems":[{"id":"ITEM-1","itemData":{"DOI":"10.4108/eai.2-11-2020.2305035","abstract":"… Island portrays and illustrates how Indonesia dynamizes the moderation needed to unite its people who are increasingly vulnerable to … and staff, Islamic Organizations, Himpunan Mahasiswa Isam (HMI or Islamic Student Union), Forum Kerukunan Umat Beragama (FKUB, or the …","author":[{"dropping-particle":"","family":"Khalikin","given":"Ahsanul","non-dropping-particle":"","parse-names":false,"suffix":""},{"dropping-particle":"","family":"Reslawati","given":"Reslawati","non-dropping-particle":"","parse-names":false,"suffix":""}],"container-title":"Proceedings of the 3rd International Symposium on Religious Life, ISRL 2020, 2-5 November 2020, Bogor, Indonesia","id":"ITEM-1","issue":"3","issued":{"date-parts":[["2021"]]},"publisher":"EAI","title":"The Dynamics of Religious Moderation in Bangka Island","type":"paper-conference"},"suppress-author":1,"uris":["http://www.mendeley.com/documents/?uuid=935a0dc4-6e6f-45fd-ad67-38330c2b31bc"]}],"mendeley":{"formattedCitation":"(2021)","plainTextFormattedCitation":"(2021)","previouslyFormattedCitation":"(2021)"},"properties":{"noteIndex":0},"schema":"https://github.com/citation-style-language/schema/raw/master/csl-citation.json"}</w:instrText>
      </w:r>
      <w:r w:rsidRPr="00C51CE2">
        <w:rPr>
          <w:color w:val="000000" w:themeColor="text1"/>
        </w:rPr>
        <w:fldChar w:fldCharType="separate"/>
      </w:r>
      <w:r w:rsidRPr="00C51CE2">
        <w:rPr>
          <w:noProof/>
          <w:color w:val="000000" w:themeColor="text1"/>
        </w:rPr>
        <w:t>(2021)</w:t>
      </w:r>
      <w:r w:rsidRPr="00C51CE2">
        <w:rPr>
          <w:color w:val="000000" w:themeColor="text1"/>
        </w:rPr>
        <w:fldChar w:fldCharType="end"/>
      </w:r>
      <w:r w:rsidRPr="00C51CE2">
        <w:rPr>
          <w:color w:val="000000" w:themeColor="text1"/>
        </w:rPr>
        <w:t xml:space="preserve"> gives several significant contributions, too. Lastly, a study by </w:t>
      </w:r>
      <w:proofErr w:type="spellStart"/>
      <w:r w:rsidRPr="008B37DD">
        <w:rPr>
          <w:color w:val="000000" w:themeColor="text1"/>
        </w:rPr>
        <w:t>Suparta</w:t>
      </w:r>
      <w:proofErr w:type="spellEnd"/>
      <w:r w:rsidRPr="00C51CE2">
        <w:rPr>
          <w:color w:val="000000" w:themeColor="text1"/>
        </w:rPr>
        <w:t xml:space="preserve"> </w:t>
      </w:r>
      <w:r>
        <w:rPr>
          <w:color w:val="000000" w:themeColor="text1"/>
        </w:rPr>
        <w:fldChar w:fldCharType="begin" w:fldLock="1"/>
      </w:r>
      <w:r>
        <w:rPr>
          <w:color w:val="000000" w:themeColor="text1"/>
        </w:rPr>
        <w:instrText>ADDIN CSL_CITATION {"citationItems":[{"id":"ITEM-1","itemData":{"DOI":"10.32923/edugama.v6i1.1749","ISSN":"2598-8115","abstract":"This article aims to review and describe the strategy of religious tolerance education and its impact on the integrity of the Negara Kesatuan Republik Indonesia (NKRI) in Bangka Belitung. In the Bangka Belitung Islands, the life of the people is very heterogeneous and has a high level of plurality. There are many portraits of the diversity of ethnicities, cultures, religions, ethnicities and languages ​​that are integrated into the social dynamics of the people in Bangka Belitung. Of course, this plurality has the potential to cause horizontal conflict in society. Therefore, to study and examine in depth this reality an in-depth interview technique is used to obtain clear information about the principles of religious tolerance from the perspective of Islam, Christianity, Buddhism, Hinduism, and Confucianism. As a result, there are three educational strategies that can be developed by religious communities in Bangka Belitung; first, the strategy of educating the internal religious community; second, the strategy of educating people to maintain harmony between fellow religious communities; and third, the strategy of educating people to maintain harmony with the government.\r Artikel ini bertujuan untuk mengulas dan memaparkan strategi pendidikan toleransi beragama dan dampaknya terhadap keutuhan Negara Kesatuan Republik Indonesia (NKRI) di Bangka Belitung. Di Kepulauan Bangka Belitung kehidupan masyarakatnya sangat heterogen dan memiliki tingkat pluralitas yang tinggi. Ada banyak potret keragaman suku, budaya, agama, etnis, dan bahasa yang  menyatu dalam dinamika sosial masyarakat di Bangka Belitung. Tentu, pluralitas tersebut berpotensi menimbulkan konflik horizontal di tengah masyarakat. Oleh karena itu untuk mengkaji dan menelaah secara mendalam realitas tersebut digunakan teknik wawancara mendalam untuk mendapatkan informasi yang jelas mengenai prinsip toleransi beragama dalam perspektif agama Islam, Kristen, Budha, Hindu, dan Konghucu. Hasilnya, ada tiga strategi pendidikan yang dapat dikembangkan oleh umat beragama yang ada di Bangka Belitung; pertama, strategi mendidik dalam internal umat beragama; kedua, strategi mendidik umat untuk menjaga kerukunan antara sesama umat beragama; dan ketiga, strategi mendidik umat untuk menjaga kerukuan dengan pemerintah.","author":[{"dropping-particle":"","family":"Suparta","given":"Suparta","non-dropping-particle":"","parse-names":false,"suffix":""}],"container-title":"Edugama: Jurnal Kependidikan dan Sosial Keagamaan","id":"ITEM-1","issue":"1","issued":{"date-parts":[["2020"]]},"page":"93-110","title":"Strategi Pendidikan Toleransi Beragama dan Implikasinya terhadap Keutuhan NKRI di Bangka Belitung","type":"article-journal","volume":"6"},"suppress-author":1,"uris":["http://www.mendeley.com/documents/?uuid=4b0d1755-6ddd-4bbc-8a58-91e6aac26f34"]}],"mendeley":{"formattedCitation":"(2020)","plainTextFormattedCitation":"(2020)","previouslyFormattedCitation":"(2020)"},"properties":{"noteIndex":0},"schema":"https://github.com/citation-style-language/schema/raw/master/csl-citation.json"}</w:instrText>
      </w:r>
      <w:r>
        <w:rPr>
          <w:color w:val="000000" w:themeColor="text1"/>
        </w:rPr>
        <w:fldChar w:fldCharType="separate"/>
      </w:r>
      <w:r w:rsidRPr="008B37DD">
        <w:rPr>
          <w:noProof/>
          <w:color w:val="000000" w:themeColor="text1"/>
        </w:rPr>
        <w:t>(2020)</w:t>
      </w:r>
      <w:r>
        <w:rPr>
          <w:color w:val="000000" w:themeColor="text1"/>
        </w:rPr>
        <w:fldChar w:fldCharType="end"/>
      </w:r>
      <w:r>
        <w:rPr>
          <w:color w:val="000000" w:themeColor="text1"/>
        </w:rPr>
        <w:t xml:space="preserve"> </w:t>
      </w:r>
      <w:r w:rsidRPr="00C51CE2">
        <w:rPr>
          <w:color w:val="000000" w:themeColor="text1"/>
        </w:rPr>
        <w:t>may answer the question partly. He found several effective strategies for harmonizing community life in this province, especially served by religious leaders.</w:t>
      </w:r>
    </w:p>
    <w:p w14:paraId="71818E48" w14:textId="77777777" w:rsidR="004B334D" w:rsidRPr="00C51CE2" w:rsidRDefault="004B334D" w:rsidP="004B334D">
      <w:pPr>
        <w:widowControl w:val="0"/>
        <w:autoSpaceDE w:val="0"/>
        <w:autoSpaceDN w:val="0"/>
        <w:adjustRightInd w:val="0"/>
        <w:jc w:val="both"/>
        <w:rPr>
          <w:color w:val="000000" w:themeColor="text1"/>
        </w:rPr>
      </w:pPr>
      <w:r w:rsidRPr="00C51CE2">
        <w:rPr>
          <w:color w:val="000000" w:themeColor="text1"/>
        </w:rPr>
        <w:t>The comparison among 10</w:t>
      </w:r>
      <w:r w:rsidRPr="004742BE">
        <w:rPr>
          <w:color w:val="000000" w:themeColor="text1"/>
          <w:vertAlign w:val="superscript"/>
        </w:rPr>
        <w:t>th</w:t>
      </w:r>
      <w:r w:rsidRPr="00C51CE2">
        <w:rPr>
          <w:color w:val="000000" w:themeColor="text1"/>
        </w:rPr>
        <w:t>, 11</w:t>
      </w:r>
      <w:r w:rsidRPr="004742BE">
        <w:rPr>
          <w:color w:val="000000" w:themeColor="text1"/>
          <w:vertAlign w:val="superscript"/>
        </w:rPr>
        <w:t>th</w:t>
      </w:r>
      <w:r w:rsidRPr="00C51CE2">
        <w:rPr>
          <w:color w:val="000000" w:themeColor="text1"/>
        </w:rPr>
        <w:t>, and 12</w:t>
      </w:r>
      <w:r w:rsidRPr="004742BE">
        <w:rPr>
          <w:color w:val="000000" w:themeColor="text1"/>
          <w:vertAlign w:val="superscript"/>
        </w:rPr>
        <w:t>th</w:t>
      </w:r>
      <w:r w:rsidRPr="00C51CE2">
        <w:rPr>
          <w:color w:val="000000" w:themeColor="text1"/>
        </w:rPr>
        <w:t xml:space="preserve"> graders is analyzed accordingly to identify another possible finding. In conjunction with a grade-level difference, a study by Guo </w:t>
      </w:r>
      <w:r w:rsidRPr="00C51CE2">
        <w:rPr>
          <w:color w:val="000000" w:themeColor="text1"/>
        </w:rPr>
        <w:fldChar w:fldCharType="begin" w:fldLock="1"/>
      </w:r>
      <w:r w:rsidRPr="00C51CE2">
        <w:rPr>
          <w:color w:val="000000" w:themeColor="text1"/>
        </w:rPr>
        <w:instrText>ADDIN CSL_CITATION {"citationItems":[{"id":"ITEM-1","itemData":{"DOI":"10.3389/fpsyg.2020.00783","ISSN":"16641078","abstract":"This study investigated grade-level differences in teacher feedback, students’ self-regulated learning (SRL), and their relationship. Secondary students participated in the study (N = 1,260; 430 10th-, 460 11th-, and 370 12th-graders). Latent factor mean difference analyses suggested that teacher feedback and students’ SRL level varied across grades. Comparatively, 10th-grade teachers were perceived to provide verification feedback, scaffolding feedback, and praise most frequently; 12th-grade teachers were perceived to provide directive feedback and criticism most frequently; and 11th-grade teachers were perceived to provide all types of feedback least frequently. Students’ SRL generally declined as they aged. Results from three-group structural equation modeling indicated that praise generally exhibited the strongest correlations with SRL regardless of grade level; directive feedback was negatively correlated with 10th graders’ SRL but positively correlated with the SRL of 11th and 12th graders; scaffolding and verification feedback were positively correlated with 11th graders’ SRL; and criticism had small correlations with SRL, regardless of grade level.","author":[{"dropping-particle":"","family":"Guo","given":"Wenjuan","non-dropping-particle":"","parse-names":false,"suffix":""}],"container-title":"Frontiers in Psychology","id":"ITEM-1","issue":"May","issued":{"date-parts":[["2020"]]},"page":"1-17","title":"Grade-Level Differences in Teacher Feedback and Students’ Self-Regulated Learning","type":"article-journal","volume":"11"},"suppress-author":1,"uris":["http://www.mendeley.com/documents/?uuid=391bba2f-47b5-42ff-9316-184a15059d7a"]}],"mendeley":{"formattedCitation":"(2020)","plainTextFormattedCitation":"(2020)","previouslyFormattedCitation":"(2020)"},"properties":{"noteIndex":0},"schema":"https://github.com/citation-style-language/schema/raw/master/csl-citation.json"}</w:instrText>
      </w:r>
      <w:r w:rsidRPr="00C51CE2">
        <w:rPr>
          <w:color w:val="000000" w:themeColor="text1"/>
        </w:rPr>
        <w:fldChar w:fldCharType="separate"/>
      </w:r>
      <w:r w:rsidRPr="00C51CE2">
        <w:rPr>
          <w:noProof/>
          <w:color w:val="000000" w:themeColor="text1"/>
        </w:rPr>
        <w:t>(2020)</w:t>
      </w:r>
      <w:r w:rsidRPr="00C51CE2">
        <w:rPr>
          <w:color w:val="000000" w:themeColor="text1"/>
        </w:rPr>
        <w:fldChar w:fldCharType="end"/>
      </w:r>
      <w:r w:rsidRPr="00C51CE2">
        <w:rPr>
          <w:color w:val="000000" w:themeColor="text1"/>
        </w:rPr>
        <w:t xml:space="preserve"> in the context of learning gives a perspective on the difference between 10</w:t>
      </w:r>
      <w:r w:rsidRPr="004742BE">
        <w:rPr>
          <w:color w:val="000000" w:themeColor="text1"/>
          <w:vertAlign w:val="superscript"/>
        </w:rPr>
        <w:t>th</w:t>
      </w:r>
      <w:r w:rsidRPr="00C51CE2">
        <w:rPr>
          <w:color w:val="000000" w:themeColor="text1"/>
        </w:rPr>
        <w:t>, 11</w:t>
      </w:r>
      <w:r w:rsidRPr="004742BE">
        <w:rPr>
          <w:color w:val="000000" w:themeColor="text1"/>
          <w:vertAlign w:val="superscript"/>
        </w:rPr>
        <w:t>th</w:t>
      </w:r>
      <w:r w:rsidRPr="00C51CE2">
        <w:rPr>
          <w:color w:val="000000" w:themeColor="text1"/>
        </w:rPr>
        <w:t>, and 12</w:t>
      </w:r>
      <w:r w:rsidRPr="004742BE">
        <w:rPr>
          <w:color w:val="000000" w:themeColor="text1"/>
          <w:vertAlign w:val="superscript"/>
        </w:rPr>
        <w:t>th</w:t>
      </w:r>
      <w:r w:rsidRPr="00C51CE2">
        <w:rPr>
          <w:color w:val="000000" w:themeColor="text1"/>
        </w:rPr>
        <w:t xml:space="preserve"> graders</w:t>
      </w:r>
      <w:r>
        <w:rPr>
          <w:color w:val="000000" w:themeColor="text1"/>
        </w:rPr>
        <w:t>,</w:t>
      </w:r>
      <w:r w:rsidRPr="00C51CE2">
        <w:rPr>
          <w:color w:val="000000" w:themeColor="text1"/>
        </w:rPr>
        <w:t xml:space="preserve"> and</w:t>
      </w:r>
      <w:r>
        <w:rPr>
          <w:color w:val="000000" w:themeColor="text1"/>
        </w:rPr>
        <w:t xml:space="preserve"> </w:t>
      </w:r>
      <w:r w:rsidRPr="00C51CE2">
        <w:rPr>
          <w:color w:val="000000" w:themeColor="text1"/>
        </w:rPr>
        <w:t>the uniqueness of 11</w:t>
      </w:r>
      <w:r w:rsidRPr="004742BE">
        <w:rPr>
          <w:color w:val="000000" w:themeColor="text1"/>
          <w:vertAlign w:val="superscript"/>
        </w:rPr>
        <w:t>th</w:t>
      </w:r>
      <w:r w:rsidRPr="00C51CE2">
        <w:rPr>
          <w:color w:val="000000" w:themeColor="text1"/>
        </w:rPr>
        <w:t xml:space="preserve"> graders </w:t>
      </w:r>
      <w:r w:rsidRPr="00C51CE2">
        <w:rPr>
          <w:color w:val="000000" w:themeColor="text1"/>
        </w:rPr>
        <w:fldChar w:fldCharType="begin" w:fldLock="1"/>
      </w:r>
      <w:r w:rsidRPr="00C51CE2">
        <w:rPr>
          <w:color w:val="000000" w:themeColor="text1"/>
        </w:rPr>
        <w:instrText>ADDIN CSL_CITATION {"citationItems":[{"id":"ITEM-1","itemData":{"DOI":"10.1016/j.lindif.2008.11.009","ISSN":"10416080","abstract":"The study examined differences in students' reported homework value, motivation, and metacognitive strategy use during homework completion among two grades, gender, and three achievement levels. Differences among six homework self-regulation constructs (utility value, intrinsic value, effort, persistence, planning, and self-checking) were also examined. Participants were 330 seventh and 407 eleventh graders from a metropolitan city in China. Chinese students' reported self-regulated learning during homework declined from middle to high school. Whereas students rated utility value and effort high, intrinsic value and self-checking were rated low. Male and female students did not differ in homework self-regulation. Achievement-level differences in homework self-regulation were found in seventh graders, but not in eleventh graders. The pattern of Chinese students' reported homework value, motivation, and metacognitive strategy use were discussed, and instructional implications were offered. © 2008 Elsevier Inc. All rights reserved.","author":[{"dropping-particle":"","family":"Hong","given":"Eunsook","non-dropping-particle":"","parse-names":false,"suffix":""},{"dropping-particle":"","family":"Peng","given":"Yu","non-dropping-particle":"","parse-names":false,"suffix":""},{"dropping-particle":"","family":"Rowell","given":"Lonnie L.","non-dropping-particle":"","parse-names":false,"suffix":""}],"container-title":"Learning and Individual Differences","id":"ITEM-1","issue":"2","issued":{"date-parts":[["2009"]]},"page":"269-276","title":"Homework self-regulation: Grade, gender, and achievement-level differences","type":"article-journal","volume":"19"},"uris":["http://www.mendeley.com/documents/?uuid=f72646e4-7dee-4290-93e0-fb0f745aff3a"]}],"mendeley":{"formattedCitation":"(E. Hong et al., 2009)","manualFormatting":"(Hong et al., 2009)","plainTextFormattedCitation":"(E. Hong et al., 2009)","previouslyFormattedCitation":"(E. Hong et al., 2009)"},"properties":{"noteIndex":0},"schema":"https://github.com/citation-style-language/schema/raw/master/csl-citation.json"}</w:instrText>
      </w:r>
      <w:r w:rsidRPr="00C51CE2">
        <w:rPr>
          <w:color w:val="000000" w:themeColor="text1"/>
        </w:rPr>
        <w:fldChar w:fldCharType="separate"/>
      </w:r>
      <w:r w:rsidRPr="00C51CE2">
        <w:rPr>
          <w:noProof/>
          <w:color w:val="000000" w:themeColor="text1"/>
        </w:rPr>
        <w:t>(Hong et al., 2009)</w:t>
      </w:r>
      <w:r w:rsidRPr="00C51CE2">
        <w:rPr>
          <w:color w:val="000000" w:themeColor="text1"/>
        </w:rPr>
        <w:fldChar w:fldCharType="end"/>
      </w:r>
      <w:r w:rsidRPr="00C51CE2">
        <w:rPr>
          <w:color w:val="000000" w:themeColor="text1"/>
        </w:rPr>
        <w:t xml:space="preserve">. In the present study, when students’ mean scores on grade levels consider, the analysis suggests that they do not differ significantly, either between types of school or among grade levels. However, in more detailed observation, it is found that 11th graders’ scores of Islamic high school are lower </w:t>
      </w:r>
      <w:r w:rsidRPr="00C51CE2">
        <w:rPr>
          <w:color w:val="000000" w:themeColor="text1"/>
        </w:rPr>
        <w:lastRenderedPageBreak/>
        <w:t>than 10th and 12th graders in all subscales and full scale. Meanwhile, with their peers in public high school, the mean scores tend to increase by grade level. Since measurement in this study is not deal with achievement, it is reasonable if similarity exists between groups with an exception as displayed data of 11th graders. A possible explanation for this exception related to the sample size of 11th graders is higher than other graders, so it influences the value of mean scores and standard deviation slightly. A question for consideration is why 11th graders are more involved than the others, even though the similar opportunity to be study respondents offered. Developmentally, they are youths who share similar characteristics in terms of chronological age. A proposed explanation is that their indifference would probably be related to their self-efficacy itself and that their interest to involve in the study is higher than other graders.</w:t>
      </w:r>
    </w:p>
    <w:p w14:paraId="123C4ED4" w14:textId="77777777" w:rsidR="004B334D" w:rsidRPr="00C51CE2" w:rsidRDefault="004B334D" w:rsidP="004B334D">
      <w:pPr>
        <w:widowControl w:val="0"/>
        <w:autoSpaceDE w:val="0"/>
        <w:autoSpaceDN w:val="0"/>
        <w:adjustRightInd w:val="0"/>
        <w:jc w:val="both"/>
        <w:rPr>
          <w:color w:val="000000" w:themeColor="text1"/>
          <w:highlight w:val="yellow"/>
        </w:rPr>
      </w:pPr>
    </w:p>
    <w:p w14:paraId="2EA8D96F" w14:textId="77777777" w:rsidR="004B334D" w:rsidRPr="00C51CE2" w:rsidRDefault="004B334D" w:rsidP="004B334D">
      <w:pPr>
        <w:widowControl w:val="0"/>
        <w:autoSpaceDE w:val="0"/>
        <w:autoSpaceDN w:val="0"/>
        <w:adjustRightInd w:val="0"/>
        <w:jc w:val="both"/>
        <w:rPr>
          <w:color w:val="000000" w:themeColor="text1"/>
        </w:rPr>
      </w:pPr>
      <w:r w:rsidRPr="00C51CE2">
        <w:rPr>
          <w:color w:val="000000" w:themeColor="text1"/>
        </w:rPr>
        <w:t xml:space="preserve">Further, in testing the hypothesis of gender differences, data analysis shows that there is no mean score difference in multicultural self-efficacy between male and male and female and female students in each school and between both types of schools. This finding confirms the first hypothesis. However, after analyzing male and females’ mean scores in more detail, there is a slight difference between both groups in four subscales in which the mean scores of females are higher than their peers, except for the flexibility subscale. Male and female students are heterogeneous groups as viewed by some specific variables, such as learning style </w:t>
      </w:r>
      <w:r w:rsidRPr="00C51CE2">
        <w:rPr>
          <w:color w:val="000000" w:themeColor="text1"/>
        </w:rPr>
        <w:fldChar w:fldCharType="begin" w:fldLock="1"/>
      </w:r>
      <w:r w:rsidRPr="00C51CE2">
        <w:rPr>
          <w:color w:val="000000" w:themeColor="text1"/>
        </w:rPr>
        <w:instrText>ADDIN CSL_CITATION {"citationItems":[{"id":"ITEM-1","itemData":{"DOI":"10.1152/advan.00060.2006","ISSN":"15221229","abstract":"Students have individual learning style preferences including visual (V; learning from graphs, charts, and flow diagrams), auditory (A; learning from speech), read-write (R; learning from reading and writing), and kinesthetic (K; learning from touch, hearing, smell, taste, and sight). These preferences can be assessed using the VARK questionnaire. We administered the VARK questionnaire to undergraduate physiology majors enrolled in a capstone physiology laboratory at Michigan State University; 48 of the 86 students (55.8%) who returned the completed questionnaire voluntarily offered gender information. The responses were tallied and assessed for gender difference in learning style preference; 54.2% of females and only 12.5% of males preferred a single mode of information presentation. Among the female students, 4.2% of the students preferred V, 0% of the students preferred A, 16.7% of the students preferred printed words (R), and 33.3% of the students preferred using all their senses (K). In contrast, male students were evenly distributed in preference, with 4.2% of the students preferring A, R, or K, respectively, while 0% of the students preferred V. Furthermore, 45.8% of female and 87.5% of male respondents preferred multiple modes [female: 2 modes (12.5%), 3 modes (12.5%), and 4 modes (20.8%); males: 2 modes (16.7%), 3 modes (12.5%), and 4 modes (58.3%)] of presentation. In summary, a majority of male students preferred multimodal instruction, specifically, four modes (VARK), whereas a majority of female students preferred single-mode instruction with a preference toward K. Thus, male and female students have significantly different learning styles. It is the responsibility of the instructor to address this diversity of learning styles and develop appropriate learning approaches. Copyright © 2007 The American Physiological Society.","author":[{"dropping-particle":"","family":"Wehrwein","given":"Erica A.","non-dropping-particle":"","parse-names":false,"suffix":""},{"dropping-particle":"","family":"Lujan","given":"Heidi L.","non-dropping-particle":"","parse-names":false,"suffix":""},{"dropping-particle":"","family":"DiCarlo","given":"Stephen E.","non-dropping-particle":"","parse-names":false,"suffix":""}],"container-title":"American Journal of Physiology - Advances in Physiology Education","id":"ITEM-1","issue":"2","issued":{"date-parts":[["2007"]]},"page":"153-157","title":"Gender differences in learning style preferences among undergraduate physiology students","type":"article-journal","volume":"31"},"uris":["http://www.mendeley.com/documents/?uuid=e03d0da7-ee83-4895-9744-f283b475f9a0"]}],"mendeley":{"formattedCitation":"(Wehrwein et al., 2007)","plainTextFormattedCitation":"(Wehrwein et al., 2007)","previouslyFormattedCitation":"(Wehrwein et al., 2007)"},"properties":{"noteIndex":0},"schema":"https://github.com/citation-style-language/schema/raw/master/csl-citation.json"}</w:instrText>
      </w:r>
      <w:r w:rsidRPr="00C51CE2">
        <w:rPr>
          <w:color w:val="000000" w:themeColor="text1"/>
        </w:rPr>
        <w:fldChar w:fldCharType="separate"/>
      </w:r>
      <w:r w:rsidRPr="00C51CE2">
        <w:rPr>
          <w:noProof/>
          <w:color w:val="000000" w:themeColor="text1"/>
        </w:rPr>
        <w:t>(Wehrwein et al., 2007)</w:t>
      </w:r>
      <w:r w:rsidRPr="00C51CE2">
        <w:rPr>
          <w:color w:val="000000" w:themeColor="text1"/>
        </w:rPr>
        <w:fldChar w:fldCharType="end"/>
      </w:r>
      <w:r w:rsidRPr="00C51CE2">
        <w:rPr>
          <w:color w:val="000000" w:themeColor="text1"/>
        </w:rPr>
        <w:t xml:space="preserve">, social interaction </w:t>
      </w:r>
      <w:r w:rsidRPr="00C51CE2">
        <w:rPr>
          <w:color w:val="000000" w:themeColor="text1"/>
        </w:rPr>
        <w:fldChar w:fldCharType="begin" w:fldLock="1"/>
      </w:r>
      <w:r w:rsidRPr="00C51CE2">
        <w:rPr>
          <w:color w:val="000000" w:themeColor="text1"/>
        </w:rPr>
        <w:instrText>ADDIN CSL_CITATION {"citationItems":[{"id":"ITEM-1","itemData":{"DOI":"10.1016/j.jebo.2021.03.016","ISSN":"01672681","abstract":"We study how the random assignment of new students to introductory-week groups shapes subsequent friendship networks. Both women and men report being much more likely to be friends with same-gender students with whom they were (randomly) assigned in a group during their first week on campus, and the effect is much stronger for women. When students from the same cohort play a repeated trust game in the experimental laboratory, their behavior helps explain what we observed in the field. Women display more stability and less flexibility than men in their interactions with individuals with whom they had previously played. This difference is enough to generate homophily in the observational data even though subjects show no intrinsic preference for same-gender interaction.","author":[{"dropping-particle":"","family":"Friebel","given":"Guido","non-dropping-particle":"","parse-names":false,"suffix":""},{"dropping-particle":"","family":"Lalanne","given":"Marie","non-dropping-particle":"","parse-names":false,"suffix":""},{"dropping-particle":"","family":"Richter","given":"Bernard","non-dropping-particle":"","parse-names":false,"suffix":""},{"dropping-particle":"","family":"Schwardmann","given":"Peter","non-dropping-particle":"","parse-names":false,"suffix":""},{"dropping-particle":"","family":"Seabright","given":"Paul","non-dropping-particle":"","parse-names":false,"suffix":""}],"container-title":"Journal of Economic Behavior and Organization","id":"ITEM-1","issued":{"date-parts":[["2021"]]},"page":"33-45","publisher":"Elsevier B.V.","title":"Gender differences in social interactions","type":"article-journal","volume":"186"},"uris":["http://www.mendeley.com/documents/?uuid=f0fd1b39-cd23-45d3-842e-b60d82f5d77f"]}],"mendeley":{"formattedCitation":"(Friebel et al., 2021)","plainTextFormattedCitation":"(Friebel et al., 2021)","previouslyFormattedCitation":"(Friebel et al., 2021)"},"properties":{"noteIndex":0},"schema":"https://github.com/citation-style-language/schema/raw/master/csl-citation.json"}</w:instrText>
      </w:r>
      <w:r w:rsidRPr="00C51CE2">
        <w:rPr>
          <w:color w:val="000000" w:themeColor="text1"/>
        </w:rPr>
        <w:fldChar w:fldCharType="separate"/>
      </w:r>
      <w:r w:rsidRPr="00C51CE2">
        <w:rPr>
          <w:noProof/>
          <w:color w:val="000000" w:themeColor="text1"/>
        </w:rPr>
        <w:t>(Friebel et al., 2021)</w:t>
      </w:r>
      <w:r w:rsidRPr="00C51CE2">
        <w:rPr>
          <w:color w:val="000000" w:themeColor="text1"/>
        </w:rPr>
        <w:fldChar w:fldCharType="end"/>
      </w:r>
      <w:r w:rsidRPr="00C51CE2">
        <w:rPr>
          <w:color w:val="000000" w:themeColor="text1"/>
        </w:rPr>
        <w:t xml:space="preserve">, types of oral corrective feedback </w:t>
      </w:r>
      <w:r w:rsidRPr="00C51CE2">
        <w:rPr>
          <w:color w:val="000000" w:themeColor="text1"/>
        </w:rPr>
        <w:fldChar w:fldCharType="begin" w:fldLock="1"/>
      </w:r>
      <w:r w:rsidRPr="00C51CE2">
        <w:rPr>
          <w:color w:val="000000" w:themeColor="text1"/>
        </w:rPr>
        <w:instrText>ADDIN CSL_CITATION {"citationItems":[{"id":"ITEM-1","itemData":{"DOI":"10.21512/humaniora.v10i1.5248","ISSN":"2087-1236","abstract":"This research aimed at investigating the male and female students’ preferences on the six types of Oral Corrective Feedback (OCF). This qualitative research used observation and interview to collect data. The observation was done to know the practice of the six types of OCF in speaking class and the interview was conducted to reveal the students’ preferences for OCF. The result from the observation shows that the lecturer mostly uses Explicit Correction to correct the students’ error. Then, the result from the interview indicates that male students prefer to have Explicit Correction because this type is the easiest type to know the error and correction clearly. Whereas the female students prefer to have Recast and Metalinguistic Feedback because Recast does not encourage them and Metalinguistic Feedback can make them think critically under the lecturer’s clue. Subsequently, both male and female students perceive Clarification Request and Repetition as the ambiguous type to grasp what the lecturer’s mean. The result of this current research is expected to provide an additional information about the practice of OCF strategies in speaking classroom which is appropriate with the students’ preferences.","author":[{"dropping-particle":"","family":"Amalia","given":"Hawin","non-dropping-particle":"","parse-names":false,"suffix":""},{"dropping-particle":"","family":"Dzulhiza","given":"Zaky","non-dropping-particle":"","parse-names":false,"suffix":""},{"dropping-particle":"","family":"Fauziati","given":"Endang","non-dropping-particle":"","parse-names":false,"suffix":""},{"dropping-particle":"","family":"Marmanto","given":"Sri","non-dropping-particle":"","parse-names":false,"suffix":""}],"container-title":"Humaniora","id":"ITEM-1","issue":"1","issued":{"date-parts":[["2019"]]},"page":"25","title":"Male and Female Students’ Preferences on the Oral Corrective Feedback in English as Foreign Language (EFL) Speaking Classroom","type":"article-journal","volume":"10"},"uris":["http://www.mendeley.com/documents/?uuid=0fe686ea-b53a-4a2d-9e10-202b6e71dde0"]}],"mendeley":{"formattedCitation":"(Amalia et al., 2019)","plainTextFormattedCitation":"(Amalia et al., 2019)","previouslyFormattedCitation":"(Amalia et al., 2019)"},"properties":{"noteIndex":0},"schema":"https://github.com/citation-style-language/schema/raw/master/csl-citation.json"}</w:instrText>
      </w:r>
      <w:r w:rsidRPr="00C51CE2">
        <w:rPr>
          <w:color w:val="000000" w:themeColor="text1"/>
        </w:rPr>
        <w:fldChar w:fldCharType="separate"/>
      </w:r>
      <w:r w:rsidRPr="00C51CE2">
        <w:rPr>
          <w:noProof/>
          <w:color w:val="000000" w:themeColor="text1"/>
        </w:rPr>
        <w:t>(Amalia et al., 2019)</w:t>
      </w:r>
      <w:r w:rsidRPr="00C51CE2">
        <w:rPr>
          <w:color w:val="000000" w:themeColor="text1"/>
        </w:rPr>
        <w:fldChar w:fldCharType="end"/>
      </w:r>
      <w:r w:rsidRPr="00C51CE2">
        <w:rPr>
          <w:color w:val="000000" w:themeColor="text1"/>
        </w:rPr>
        <w:t xml:space="preserve">, and an effective instruction </w:t>
      </w:r>
      <w:r w:rsidRPr="00C51CE2">
        <w:rPr>
          <w:color w:val="000000" w:themeColor="text1"/>
        </w:rPr>
        <w:fldChar w:fldCharType="begin" w:fldLock="1"/>
      </w:r>
      <w:r w:rsidRPr="00C51CE2">
        <w:rPr>
          <w:color w:val="000000" w:themeColor="text1"/>
        </w:rPr>
        <w:instrText>ADDIN CSL_CITATION {"citationItems":[{"id":"ITEM-1","itemData":{"DOI":"10.34190/ejel.20.3.2336","ISSN":"14794403","abstract":"The present study investigates the preferences of students regarding the principles for the effective design of instructional videos to identify factors that influence engagement. A questionnaire was distributed to 232 students enrolled in online liberal arts classes at a private university in South Korea. Frequency analysis was conducted to determine preferences, whereas an independent sample t-test and one-way analysis of variance were administered to verify any differences in preferences according to gender and grade. The findings are as follows. First, out of the 12 principles that should be considered in the design of instructional videos, the students most preferred the review quiz principle. Moreover, this factor was found to exert the greatest influence on engagement. Second, incorporating real-life situation principles into instructional videos also had a significant impact on engagement. Third, female students expressed higher levels of preference than did male students in terms of the preview, course content on screen, and review quiz principles. Fourth, sophomores preferred the review quiz principle more than the freshmen did. The results of the present study are in line with those of previous research in that the effective instructional design of multimedia lessons requires reducing extraneous processing, managing essential processing, and fostering generative processing. Particularly, the study found that Korean students value video lectures with generative activities for meaningful learning. Based on the findings of the study, pedagogical considerations of the design of recorded lectures and its structure for active engagement, and suggestions for future studies are provided.","author":[{"dropping-particle":"","family":"Seo","given":"Ji Young","non-dropping-particle":"","parse-names":false,"suffix":""}],"container-title":"Electronic Journal of e-Learning","id":"ITEM-1","issue":"3","issued":{"date-parts":[["2022"]]},"page":"313-324","title":"College Students’ Preferences on Principles for the Effective Instructional Video Design for Online General English Classes in Korea","type":"article-journal","volume":"20"},"uris":["http://www.mendeley.com/documents/?uuid=01fd5f8a-f13a-4666-b9fd-4b598defcf62"]}],"mendeley":{"formattedCitation":"(Seo, 2022)","plainTextFormattedCitation":"(Seo, 2022)","previouslyFormattedCitation":"(Seo, 2022)"},"properties":{"noteIndex":0},"schema":"https://github.com/citation-style-language/schema/raw/master/csl-citation.json"}</w:instrText>
      </w:r>
      <w:r w:rsidRPr="00C51CE2">
        <w:rPr>
          <w:color w:val="000000" w:themeColor="text1"/>
        </w:rPr>
        <w:fldChar w:fldCharType="separate"/>
      </w:r>
      <w:r w:rsidRPr="00C51CE2">
        <w:rPr>
          <w:noProof/>
          <w:color w:val="000000" w:themeColor="text1"/>
        </w:rPr>
        <w:t>(Seo, 2022)</w:t>
      </w:r>
      <w:r w:rsidRPr="00C51CE2">
        <w:rPr>
          <w:color w:val="000000" w:themeColor="text1"/>
        </w:rPr>
        <w:fldChar w:fldCharType="end"/>
      </w:r>
      <w:r w:rsidRPr="00C51CE2">
        <w:rPr>
          <w:color w:val="000000" w:themeColor="text1"/>
        </w:rPr>
        <w:t xml:space="preserve">. Studies aimed at them bear mixed results. In the present study, as displayed in Table 3, although mean score differences between the two are not significant, differences exist. In the five subscales, the mean scores of females of both schools are better than their male peers, with exceptions for the flexibility subscale, where the mean scores are very close. A meta-analysis by Huang </w:t>
      </w:r>
      <w:r w:rsidRPr="00C51CE2">
        <w:rPr>
          <w:color w:val="000000" w:themeColor="text1"/>
        </w:rPr>
        <w:fldChar w:fldCharType="begin" w:fldLock="1"/>
      </w:r>
      <w:r w:rsidRPr="00C51CE2">
        <w:rPr>
          <w:color w:val="000000" w:themeColor="text1"/>
        </w:rPr>
        <w:instrText>ADDIN CSL_CITATION {"citationItems":[{"id":"ITEM-1","itemData":{"abstract":"A meta-analysis of 187 studies containing 247 independent studies (N = 68,429) on gender differences in academic self-efficacy identified an overall effect size of 0.08, with a small difference favoring males. Moderator analysis demonstrated that content domain was a significant moderator in explaining effect size variation. Females displayed higher language arts self-efficacy than males. Meanwhile, males exhibited higher mathematics, computer, and social sciences self-efficacy than females. Gender differences in academic self-efficacy also varied with age. The largest effect size occurred for respondents aged over 23 years old. For mathematics self-efficacy, the significant gender differences emerged in late adolescence. Future research should longitudinally examine gender differences in academic self-efficacy to determine the prevalence of gender differences during different life stages.","author":[{"dropping-particle":"","family":"Huang","given":"Chiung Jung","non-dropping-particle":"","parse-names":false,"suffix":""}],"container-title":"European Journal of Psychology of Education","id":"ITEM-1","issue":"1","issued":{"date-parts":[["2013"]]},"page":"1-5","title":"Gender differences in academic self-efficacy: A meta-analysis","type":"article-journal","volume":"28"},"suppress-author":1,"uris":["http://www.mendeley.com/documents/?uuid=0da69820-a407-4af1-a89f-493f0b1e54d8"]}],"mendeley":{"formattedCitation":"(2013)","plainTextFormattedCitation":"(2013)","previouslyFormattedCitation":"(2013)"},"properties":{"noteIndex":0},"schema":"https://github.com/citation-style-language/schema/raw/master/csl-citation.json"}</w:instrText>
      </w:r>
      <w:r w:rsidRPr="00C51CE2">
        <w:rPr>
          <w:color w:val="000000" w:themeColor="text1"/>
        </w:rPr>
        <w:fldChar w:fldCharType="separate"/>
      </w:r>
      <w:r w:rsidRPr="00C51CE2">
        <w:rPr>
          <w:noProof/>
          <w:color w:val="000000" w:themeColor="text1"/>
        </w:rPr>
        <w:t>(2013)</w:t>
      </w:r>
      <w:r w:rsidRPr="00C51CE2">
        <w:rPr>
          <w:color w:val="000000" w:themeColor="text1"/>
        </w:rPr>
        <w:fldChar w:fldCharType="end"/>
      </w:r>
      <w:r w:rsidRPr="00C51CE2">
        <w:rPr>
          <w:color w:val="000000" w:themeColor="text1"/>
        </w:rPr>
        <w:t xml:space="preserve"> indicated the existence of heterogeneous between two groups. For example, females displayed higher language arts self-efficacy than males. Beside, males exhibited higher mathematics, computer, and social sciences self-efficacy than females. A study by </w:t>
      </w:r>
      <w:proofErr w:type="spellStart"/>
      <w:r w:rsidRPr="00C51CE2">
        <w:rPr>
          <w:color w:val="000000" w:themeColor="text1"/>
        </w:rPr>
        <w:t>Varol</w:t>
      </w:r>
      <w:proofErr w:type="spellEnd"/>
      <w:r w:rsidRPr="00C51CE2">
        <w:rPr>
          <w:color w:val="000000" w:themeColor="text1"/>
        </w:rPr>
        <w:t xml:space="preserve"> and Yilmaz  </w:t>
      </w:r>
      <w:r w:rsidRPr="00C51CE2">
        <w:rPr>
          <w:color w:val="000000" w:themeColor="text1"/>
        </w:rPr>
        <w:fldChar w:fldCharType="begin" w:fldLock="1"/>
      </w:r>
      <w:r w:rsidRPr="00C51CE2">
        <w:rPr>
          <w:color w:val="000000" w:themeColor="text1"/>
        </w:rPr>
        <w:instrText>ADDIN CSL_CITATION {"citationItems":[{"id":"ITEM-1","itemData":{"DOI":"10.1016/j.sbspro.2010.07.038","ISSN":"1877-0428","author":[{"dropping-particle":"","family":"Varol","given":"Burcu","non-dropping-particle":"","parse-names":false,"suffix":""},{"dropping-particle":"","family":"Yilmaz","given":"Sinem","non-dropping-particle":"","parse-names":false,"suffix":""}],"id":"ITEM-1","issue":"1","issued":{"date-parts":[["2010"]]},"page":"237-244","title":"Similarities and differences between female and male learners: Inside and outside class autonomous language learning activities","type":"article-journal","volume":"3"},"suppress-author":1,"uris":["http://www.mendeley.com/documents/?uuid=c6a26b44-2ec0-4829-adde-e13d234944f9"]}],"mendeley":{"formattedCitation":"(2010)","plainTextFormattedCitation":"(2010)","previouslyFormattedCitation":"(2010)"},"properties":{"noteIndex":0},"schema":"https://github.com/citation-style-language/schema/raw/master/csl-citation.json"}</w:instrText>
      </w:r>
      <w:r w:rsidRPr="00C51CE2">
        <w:rPr>
          <w:color w:val="000000" w:themeColor="text1"/>
        </w:rPr>
        <w:fldChar w:fldCharType="separate"/>
      </w:r>
      <w:r w:rsidRPr="00C51CE2">
        <w:rPr>
          <w:noProof/>
          <w:color w:val="000000" w:themeColor="text1"/>
        </w:rPr>
        <w:t>(2010)</w:t>
      </w:r>
      <w:r w:rsidRPr="00C51CE2">
        <w:rPr>
          <w:color w:val="000000" w:themeColor="text1"/>
        </w:rPr>
        <w:fldChar w:fldCharType="end"/>
      </w:r>
      <w:r w:rsidRPr="00C51CE2">
        <w:rPr>
          <w:color w:val="000000" w:themeColor="text1"/>
        </w:rPr>
        <w:t xml:space="preserve"> clearly shows a similarity between groups in inside and outside class autonomous language learning activities. In addition, a study by Burger et al. </w:t>
      </w:r>
      <w:r w:rsidRPr="00C51CE2">
        <w:rPr>
          <w:color w:val="000000" w:themeColor="text1"/>
        </w:rPr>
        <w:fldChar w:fldCharType="begin" w:fldLock="1"/>
      </w:r>
      <w:r w:rsidRPr="00C51CE2">
        <w:rPr>
          <w:color w:val="000000" w:themeColor="text1"/>
        </w:rPr>
        <w:instrText>ADDIN CSL_CITATION {"citationItems":[{"id":"ITEM-1","itemData":{"abstract":"Researchers from four universities with strong engineering colleges collaborated on a project that seeks to isolate those factors and experiences that contribute most to the development of positive self-efficacy beliefs and, ultimately, to the increased retention of women in undergraduate engineering majors. A survey was developed to administer to students at each institution during their sophomore, junior, and senior years. Two of the engineering colleges require participation in cooperative education programs for fulfillment of the program of study and two do not. We suggest that a work experience could result in an increase in work self-efficacy that would bolster academic and career self-efficacy. Data analyses show similarities and differences between and among female and male students at these institutions with regard to their current self-efficacy levels (academic, work, and career), amount of support provided for female students, and how likely females are to take advantage of services provided.","author":[{"dropping-particle":"","family":"Burger","given":"Carol","non-dropping-particle":"","parse-names":false,"suffix":""},{"dropping-particle":"","family":"Raelin","given":"Joseph A","non-dropping-particle":"","parse-names":false,"suffix":""},{"dropping-particle":"","family":"Reisberl","given":"Rachelle M","non-dropping-particle":"","parse-names":false,"suffix":""},{"dropping-particle":"","family":"Baile","given":"Margaret B","non-dropping-particle":"","parse-names":false,"suffix":""},{"dropping-particle":"","family":"Whitman","given":"David","non-dropping-particle":"","parse-names":false,"suffix":""}],"container-title":"2010 ASEE Southeast Section Conference","id":"ITEM-1","issued":{"date-parts":[["2010"]]},"page":"9","publisher":"ASEE South Asia Section Conference","title":"Self-efficacy in female and male undergraduate engineering students: Comparisons among four institutions","type":"paper-conference"},"suppress-author":1,"uris":["http://www.mendeley.com/documents/?uuid=65bc1bde-74f3-46d3-b7cb-2b04a611bfe0"]}],"mendeley":{"formattedCitation":"(2010)","plainTextFormattedCitation":"(2010)","previouslyFormattedCitation":"(2010)"},"properties":{"noteIndex":0},"schema":"https://github.com/citation-style-language/schema/raw/master/csl-citation.json"}</w:instrText>
      </w:r>
      <w:r w:rsidRPr="00C51CE2">
        <w:rPr>
          <w:color w:val="000000" w:themeColor="text1"/>
        </w:rPr>
        <w:fldChar w:fldCharType="separate"/>
      </w:r>
      <w:r w:rsidRPr="00C51CE2">
        <w:rPr>
          <w:noProof/>
          <w:color w:val="000000" w:themeColor="text1"/>
        </w:rPr>
        <w:t>(2010)</w:t>
      </w:r>
      <w:r w:rsidRPr="00C51CE2">
        <w:rPr>
          <w:color w:val="000000" w:themeColor="text1"/>
        </w:rPr>
        <w:fldChar w:fldCharType="end"/>
      </w:r>
      <w:r w:rsidRPr="00C51CE2">
        <w:rPr>
          <w:color w:val="000000" w:themeColor="text1"/>
        </w:rPr>
        <w:t xml:space="preserve"> on the self-efficacy of males and females supports longstanding research findings that females have lower academic self-efficacy than males at the point of entry in their undergraduate engineering education. A study by Balart and </w:t>
      </w:r>
      <w:proofErr w:type="spellStart"/>
      <w:r w:rsidRPr="00C51CE2">
        <w:rPr>
          <w:color w:val="000000" w:themeColor="text1"/>
        </w:rPr>
        <w:t>Oosterveen</w:t>
      </w:r>
      <w:proofErr w:type="spellEnd"/>
      <w:r w:rsidRPr="00C51CE2">
        <w:rPr>
          <w:color w:val="000000" w:themeColor="text1"/>
        </w:rPr>
        <w:t xml:space="preserve"> </w:t>
      </w:r>
      <w:r w:rsidRPr="00C51CE2">
        <w:rPr>
          <w:color w:val="000000" w:themeColor="text1"/>
        </w:rPr>
        <w:fldChar w:fldCharType="begin" w:fldLock="1"/>
      </w:r>
      <w:r w:rsidRPr="00C51CE2">
        <w:rPr>
          <w:color w:val="000000" w:themeColor="text1"/>
        </w:rPr>
        <w:instrText>ADDIN CSL_CITATION {"citationItems":[{"id":"ITEM-1","itemData":{"DOI":"10.1038/s41467-019-11691-y","ISSN":"2041-1723","author":[{"dropping-particle":"","family":"Balart","given":"Pau","non-dropping-particle":"","parse-names":false,"suffix":""},{"dropping-particle":"","family":"Oosterveen","given":"Matthijs","non-dropping-particle":"","parse-names":false,"suffix":""}],"container-title":"Nature Communications","id":"ITEM-1","issue":"study 2","issued":{"date-parts":[["2019"]]},"page":"1-11","publisher":"Springer US","title":"Females show more sustained performance during test-taking than males","type":"article-journal"},"suppress-author":1,"uris":["http://www.mendeley.com/documents/?uuid=09bf1815-e088-414c-9ace-d8f9c51b2b7c"]}],"mendeley":{"formattedCitation":"(2019)","plainTextFormattedCitation":"(2019)","previouslyFormattedCitation":"(2019)"},"properties":{"noteIndex":0},"schema":"https://github.com/citation-style-language/schema/raw/master/csl-citation.json"}</w:instrText>
      </w:r>
      <w:r w:rsidRPr="00C51CE2">
        <w:rPr>
          <w:color w:val="000000" w:themeColor="text1"/>
        </w:rPr>
        <w:fldChar w:fldCharType="separate"/>
      </w:r>
      <w:r w:rsidRPr="00C51CE2">
        <w:rPr>
          <w:noProof/>
          <w:color w:val="000000" w:themeColor="text1"/>
        </w:rPr>
        <w:t>(2019)</w:t>
      </w:r>
      <w:r w:rsidRPr="00C51CE2">
        <w:rPr>
          <w:color w:val="000000" w:themeColor="text1"/>
        </w:rPr>
        <w:fldChar w:fldCharType="end"/>
      </w:r>
      <w:r w:rsidRPr="00C51CE2">
        <w:rPr>
          <w:color w:val="000000" w:themeColor="text1"/>
        </w:rPr>
        <w:t xml:space="preserve"> provides evidence that females are better in sustaining their performance during a test across all of these topics, including math and science. The longer cognitive tests, the lower the gender gap in math and science. From these research examples, both groups may be similar and different in some characteristics. This study seems to support previous findings that differences exist.</w:t>
      </w:r>
    </w:p>
    <w:p w14:paraId="1EAA3691" w14:textId="77777777" w:rsidR="004B334D" w:rsidRPr="00C51CE2" w:rsidRDefault="004B334D" w:rsidP="004B334D">
      <w:pPr>
        <w:widowControl w:val="0"/>
        <w:autoSpaceDE w:val="0"/>
        <w:autoSpaceDN w:val="0"/>
        <w:adjustRightInd w:val="0"/>
        <w:jc w:val="both"/>
        <w:rPr>
          <w:color w:val="000000" w:themeColor="text1"/>
        </w:rPr>
      </w:pPr>
    </w:p>
    <w:p w14:paraId="02FC17D8" w14:textId="77777777" w:rsidR="004B334D" w:rsidRPr="00C51CE2" w:rsidRDefault="004B334D" w:rsidP="004B334D">
      <w:pPr>
        <w:widowControl w:val="0"/>
        <w:autoSpaceDE w:val="0"/>
        <w:autoSpaceDN w:val="0"/>
        <w:adjustRightInd w:val="0"/>
        <w:jc w:val="both"/>
        <w:rPr>
          <w:color w:val="000000" w:themeColor="text1"/>
          <w:shd w:val="clear" w:color="auto" w:fill="FFFFFF"/>
        </w:rPr>
      </w:pPr>
      <w:r w:rsidRPr="00C51CE2">
        <w:rPr>
          <w:color w:val="000000" w:themeColor="text1"/>
          <w:shd w:val="clear" w:color="auto" w:fill="FFFFFF"/>
        </w:rPr>
        <w:t>All data analysis in the current study indicates that the majority of students of Islamic and public high schools have a score between moderate to a very high level. The finding implies that they have good belief in their capability to execute proper behavior necessary to deal with peers from other culture in school environment or event in their community. Multicultural self-efficacy as one content of personal/social domain in developmental school counseling</w:t>
      </w:r>
      <w:r w:rsidRPr="00C51CE2">
        <w:rPr>
          <w:color w:val="000000" w:themeColor="text1"/>
        </w:rPr>
        <w:t xml:space="preserve"> </w:t>
      </w:r>
      <w:r w:rsidRPr="00C51CE2">
        <w:rPr>
          <w:color w:val="000000" w:themeColor="text1"/>
        </w:rPr>
        <w:fldChar w:fldCharType="begin" w:fldLock="1"/>
      </w:r>
      <w:r w:rsidRPr="00C51CE2">
        <w:rPr>
          <w:color w:val="000000" w:themeColor="text1"/>
        </w:rPr>
        <w:instrText>ADDIN CSL_CITATION {"citationItems":[{"id":"ITEM-1","itemData":{"author":[{"dropping-particle":"","family":"Myrick","given":"Robert D.","non-dropping-particle":"","parse-names":false,"suffix":""}],"edition":"5th","id":"ITEM-1","issued":{"date-parts":[["2011"]]},"number-of-pages":"502","publisher":"Educational Media Corporation","publisher-place":"Minneapolis","title":"Developmental guidance and counseling: A practical approach","type":"book"},"uris":["http://www.mendeley.com/documents/?uuid=2255d0d0-1d93-46d2-9b26-d8142fa4f768"]}],"mendeley":{"formattedCitation":"(Myrick, 2011)","plainTextFormattedCitation":"(Myrick, 2011)","previouslyFormattedCitation":"(Myrick, 2011)"},"properties":{"noteIndex":0},"schema":"https://github.com/citation-style-language/schema/raw/master/csl-citation.json"}</w:instrText>
      </w:r>
      <w:r w:rsidRPr="00C51CE2">
        <w:rPr>
          <w:color w:val="000000" w:themeColor="text1"/>
        </w:rPr>
        <w:fldChar w:fldCharType="separate"/>
      </w:r>
      <w:r w:rsidRPr="00C51CE2">
        <w:rPr>
          <w:noProof/>
          <w:color w:val="000000" w:themeColor="text1"/>
        </w:rPr>
        <w:t>(Myrick, 2011)</w:t>
      </w:r>
      <w:r w:rsidRPr="00C51CE2">
        <w:rPr>
          <w:color w:val="000000" w:themeColor="text1"/>
        </w:rPr>
        <w:fldChar w:fldCharType="end"/>
      </w:r>
      <w:r w:rsidRPr="00C51CE2">
        <w:rPr>
          <w:color w:val="000000" w:themeColor="text1"/>
        </w:rPr>
        <w:t xml:space="preserve">, can flourish only supported by several critical sources, namely the enactive mastery learning, vicarious experience, verbal persuasion, and physiological and affective states </w:t>
      </w:r>
      <w:r w:rsidRPr="00C51CE2">
        <w:rPr>
          <w:color w:val="000000" w:themeColor="text1"/>
        </w:rPr>
        <w:fldChar w:fldCharType="begin" w:fldLock="1"/>
      </w:r>
      <w:r w:rsidRPr="00C51CE2">
        <w:rPr>
          <w:color w:val="000000" w:themeColor="text1"/>
        </w:rPr>
        <w:instrText>ADDIN CSL_CITATION {"citationItems":[{"id":"ITEM-1","itemData":{"author":[{"dropping-particle":"","family":"Bandura","given":"Albert","non-dropping-particle":"","parse-names":false,"suffix":""}],"container-title":"American Psychologist","id":"ITEM-1","issue":"2","issued":{"date-parts":[["1982"]]},"page":"122-147","title":"Self-efficacy Mechanism in human agency","type":"motion_picture","volume":"37"},"uris":["http://www.mendeley.com/documents/?uuid=58b88850-36ce-4ac4-9545-796df4d4eb54"]},{"id":"ITEM-2","itemData":{"DOI":"10.1037/0021-9010.88.1.87","abstract":"The authors address the verification of the functional properties of self-efficacy beliefs and document how self-efficacy beliefs operate in concert with goal systems within a sociocognitive theory of self-regulation in contrast to the focus of control theory on discrepancy reduction. Social cognitive theory posits proactive discrepancy production by adoption of goal challenges working in concert with reactive discrepancy reduction in realizing them. Converging evidence from diverse methodological and analytic strategies verifies that perceived self-efficacy and personal goals enhance motivation and performance attainments. The large body of evidence, as evaluated by 9 meta-analyses for the effect sizes of self-efficacy beliefs and by the vast body of research on goal setting, contradicts findings (J. B. Vancouver, C. M. Thompson, &amp; A. A. Williams, 2001; J. B. Vancouver, C. M. Thompson, E. C. Tischner, &amp; D. J. Putka, 2002) that belief in one’s capabilities and personal goals is self-debilitating.","author":[{"dropping-particle":"","family":"Bandura","given":"Albert","non-dropping-particle":"","parse-names":false,"suffix":""},{"dropping-particle":"","family":"Locke","given":"Edwin A","non-dropping-particle":"","parse-names":false,"suffix":""}],"container-title":"Journal of Applied Psychology","id":"ITEM-2","issue":"1","issued":{"date-parts":[["2003"]]},"page":"87-99","title":"Negative self-efficacy and goal effects revisited","type":"article-journal","volume":"88"},"uris":["http://www.mendeley.com/documents/?uuid=31a413b6-0526-4398-a22b-84292b13624f"]}],"mendeley":{"formattedCitation":"(Bandura, 1982; Bandura &amp; Locke, 2003)","plainTextFormattedCitation":"(Bandura, 1982; Bandura &amp; Locke, 2003)","previouslyFormattedCitation":"(Bandura, 1982; Bandura &amp; Locke, 2003)"},"properties":{"noteIndex":0},"schema":"https://github.com/citation-style-language/schema/raw/master/csl-citation.json"}</w:instrText>
      </w:r>
      <w:r w:rsidRPr="00C51CE2">
        <w:rPr>
          <w:color w:val="000000" w:themeColor="text1"/>
        </w:rPr>
        <w:fldChar w:fldCharType="separate"/>
      </w:r>
      <w:r w:rsidRPr="00C51CE2">
        <w:rPr>
          <w:noProof/>
          <w:color w:val="000000" w:themeColor="text1"/>
        </w:rPr>
        <w:t>(Bandura, 1982; Bandura &amp; Locke, 2003)</w:t>
      </w:r>
      <w:r w:rsidRPr="00C51CE2">
        <w:rPr>
          <w:color w:val="000000" w:themeColor="text1"/>
        </w:rPr>
        <w:fldChar w:fldCharType="end"/>
      </w:r>
      <w:r w:rsidRPr="00C51CE2">
        <w:rPr>
          <w:color w:val="000000" w:themeColor="text1"/>
        </w:rPr>
        <w:t xml:space="preserve">, and it has a significantly positive correlation to cultural competence </w:t>
      </w:r>
      <w:r w:rsidRPr="00C51CE2">
        <w:rPr>
          <w:color w:val="000000" w:themeColor="text1"/>
        </w:rPr>
        <w:fldChar w:fldCharType="begin" w:fldLock="1"/>
      </w:r>
      <w:r w:rsidRPr="00C51CE2">
        <w:rPr>
          <w:color w:val="000000" w:themeColor="text1"/>
        </w:rPr>
        <w:instrText>ADDIN CSL_CITATION {"citationItems":[{"id":"ITEM-1","itemData":{"DOI":"10.17744/mehc.40.2.03","ISSN":"1040-2861","abstract":"The present study investigated the relationship between cultural competence, multicultural self-efficacy, and ethnic identity among professional counselors (n = 172). Researchers found a moderate positive correlation between cultural competence and multicultural ethnic identity, r = .41, p &amp;lt; .01, and between ethnic identity and multicultural self-efficacy, r = .31, p &amp;lt; .01. Additionally, there was a large positive correlation between cultural competency and multicultural self-efficacy, r = .61, p &amp;lt; .01. Finally, results from a hierarchical multiple regression indicated that ethnic identity and multicultural self-efficacy accounted for 42.4% of the variance in multicultural counseling competence after controlling for social desirability, F(3, 159) = 38.99, p &amp;lt; .001. Discussion of the results, implications for the counseling profession, and areas for future research are explored.","author":[{"dropping-particle":"","family":"Matthews","given":"Jennifer J.","non-dropping-particle":"","parse-names":false,"suffix":""},{"dropping-particle":"","family":"Barden","given":"Sejal Mehta","non-dropping-particle":"","parse-names":false,"suffix":""},{"dropping-particle":"","family":"Sherrell","given":"Renee S.","non-dropping-particle":"","parse-names":false,"suffix":""}],"container-title":"Journal of Mental Health Counseling","id":"ITEM-1","issue":"2","issued":{"date-parts":[["2018"]]},"page":"129-141","title":"Examining the Relationships Between Multicultural Counseling Competence, Multicultural Self-Efficacy, and Ethnic Identity Development of Practicing Counselors","type":"article-journal","volume":"40"},"uris":["http://www.mendeley.com/documents/?uuid=5a9b4bde-5763-4647-a282-ca817bad6a4f"]}],"mendeley":{"formattedCitation":"(Matthews et al., 2018)","plainTextFormattedCitation":"(Matthews et al., 2018)","previouslyFormattedCitation":"(Matthews et al., 2018)"},"properties":{"noteIndex":0},"schema":"https://github.com/citation-style-language/schema/raw/master/csl-citation.json"}</w:instrText>
      </w:r>
      <w:r w:rsidRPr="00C51CE2">
        <w:rPr>
          <w:color w:val="000000" w:themeColor="text1"/>
        </w:rPr>
        <w:fldChar w:fldCharType="separate"/>
      </w:r>
      <w:r w:rsidRPr="00C51CE2">
        <w:rPr>
          <w:noProof/>
          <w:color w:val="000000" w:themeColor="text1"/>
        </w:rPr>
        <w:t>(Matthews et al., 2018)</w:t>
      </w:r>
      <w:r w:rsidRPr="00C51CE2">
        <w:rPr>
          <w:color w:val="000000" w:themeColor="text1"/>
        </w:rPr>
        <w:fldChar w:fldCharType="end"/>
      </w:r>
      <w:r w:rsidRPr="00C51CE2">
        <w:rPr>
          <w:color w:val="000000" w:themeColor="text1"/>
        </w:rPr>
        <w:t xml:space="preserve">. </w:t>
      </w:r>
    </w:p>
    <w:p w14:paraId="1C2B71AB" w14:textId="77777777" w:rsidR="004B334D" w:rsidRPr="00C51CE2" w:rsidRDefault="004B334D" w:rsidP="004B334D">
      <w:pPr>
        <w:widowControl w:val="0"/>
        <w:autoSpaceDE w:val="0"/>
        <w:autoSpaceDN w:val="0"/>
        <w:adjustRightInd w:val="0"/>
        <w:jc w:val="both"/>
        <w:rPr>
          <w:color w:val="000000" w:themeColor="text1"/>
        </w:rPr>
      </w:pPr>
    </w:p>
    <w:p w14:paraId="49B46971" w14:textId="77777777" w:rsidR="004B334D" w:rsidRPr="00C51CE2" w:rsidRDefault="004B334D" w:rsidP="004B334D">
      <w:pPr>
        <w:widowControl w:val="0"/>
        <w:autoSpaceDE w:val="0"/>
        <w:autoSpaceDN w:val="0"/>
        <w:adjustRightInd w:val="0"/>
        <w:jc w:val="both"/>
        <w:rPr>
          <w:bCs/>
          <w:color w:val="000000" w:themeColor="text1"/>
        </w:rPr>
      </w:pPr>
      <w:r w:rsidRPr="00C51CE2">
        <w:rPr>
          <w:color w:val="000000" w:themeColor="text1"/>
        </w:rPr>
        <w:t xml:space="preserve">Considering these sources, it can elaborate that their efficacy strength would have been a positive fruit of fostering and nurturing cultural environment in family, school, and community, where they have great opportunity to observe and feel culturally harmonious relationships among parents, teachers, religious leaders, community leaders, and local governors. It may also be the impact of various verbal persuasion from recognized authorities mentioned above. In today's information technology, persuasion on social media can play a significant role in changing attitudes </w:t>
      </w:r>
      <w:r w:rsidRPr="00C51CE2">
        <w:rPr>
          <w:bCs/>
          <w:color w:val="000000" w:themeColor="text1"/>
        </w:rPr>
        <w:fldChar w:fldCharType="begin" w:fldLock="1"/>
      </w:r>
      <w:r w:rsidRPr="00C51CE2">
        <w:rPr>
          <w:bCs/>
          <w:color w:val="000000" w:themeColor="text1"/>
        </w:rPr>
        <w:instrText>ADDIN CSL_CITATION {"citationItems":[{"id":"ITEM-1","itemData":{"DOI":"10.3389/fpsyg.2021.596071","ISSN":"16641078","abstract":"Emerging social media platforms such as Twitter and its Chinese equivalent Weibo have become important in information-sharing and communication. They are also gradually becoming stronger in guiding public opinion. When compared with traditional media, these platforms have salient characteristics, such as highly efficient dissemination of information and interactive commentary, which can contribute to information overload. In earlier research, only the effect of social media on attitude change has been studied, but the specific mechanism of this effect in the context of information overload has not been found. To answer this question, we measured the attitude change of participants after they read Weibo posts about street vendors. A 2 (post-attitude: positive posts vs. negative posts) × 4 (reading time: 35 vs. 25 vs. 15 vs. 5 min) experiment was set up, and the Single Category Implicit Attitude Test was used to measure the implicit attitudes. The interaction effect revealed that in both positive and negative posts, less reading time (i.e., information overload) had a stronger influence. Users were more easily persuaded by posts under high overload. Furthermore, the changes in the attitudes of users were not simply stronger with more information. We found three stages, namely, obedience, resistance, and acceptance, with different mechanisms. Therefore, in the positive information overload condition, the attitudes of individuals eventually change in a positive way. In the negative information overload condition, individuals tend to be biased against the group being reported.","author":[{"dropping-particle":"","family":"Wang","given":"Yizhi","non-dropping-particle":"","parse-names":false,"suffix":""},{"dropping-particle":"","family":"Dai","given":"Yuwan","non-dropping-particle":"","parse-names":false,"suffix":""},{"dropping-particle":"","family":"Li","given":"Hao","non-dropping-particle":"","parse-names":false,"suffix":""},{"dropping-particle":"","family":"Song","given":"Lili","non-dropping-particle":"","parse-names":false,"suffix":""}],"container-title":"Frontiers in Psychology","id":"ITEM-1","issue":"June","issued":{"date-parts":[["2021"]]},"page":"1-9","title":"Social media and attitude change: Information booming promote or resist persuasion?","type":"article-journal","volume":"12"},"uris":["http://www.mendeley.com/documents/?uuid=fd215754-0830-4b1e-bafd-bcdd98c4490a"]}],"mendeley":{"formattedCitation":"(Wang et al., 2021)","plainTextFormattedCitation":"(Wang et al., 2021)","previouslyFormattedCitation":"(Wang et al., 2021)"},"properties":{"noteIndex":0},"schema":"https://github.com/citation-style-language/schema/raw/master/csl-citation.json"}</w:instrText>
      </w:r>
      <w:r w:rsidRPr="00C51CE2">
        <w:rPr>
          <w:bCs/>
          <w:color w:val="000000" w:themeColor="text1"/>
        </w:rPr>
        <w:fldChar w:fldCharType="separate"/>
      </w:r>
      <w:r w:rsidRPr="00C51CE2">
        <w:rPr>
          <w:bCs/>
          <w:noProof/>
          <w:color w:val="000000" w:themeColor="text1"/>
        </w:rPr>
        <w:t>(Wang et al., 2021)</w:t>
      </w:r>
      <w:r w:rsidRPr="00C51CE2">
        <w:rPr>
          <w:bCs/>
          <w:color w:val="000000" w:themeColor="text1"/>
        </w:rPr>
        <w:fldChar w:fldCharType="end"/>
      </w:r>
      <w:r w:rsidRPr="00C51CE2">
        <w:rPr>
          <w:bCs/>
          <w:color w:val="000000" w:themeColor="text1"/>
        </w:rPr>
        <w:t>. Students will have more referenced figures for their posted persuasions that easily influence their attitude. In addition, successful previous experiences dealing with adults, peers, or youngers of other cultures are a powerful tool in mastering the efficacy. Direct experiences have given an opportunity of overcoming obstacles through persisting efforts for students. In other words, it becomes a catalyst for furthering their performance. Lastly, the emotional reactions are either positive or negative, such as fear, anxiety, anger, happiness, or enjoyment may lead students to deal with peers of other cultures. Those who feel diminished, discounted, offended, stereotyped, or attacked by peers are more likely to have lower multicultural self-efficacy. The meaning of the findings is that Islamic and public high school students have benefited from such efficacy sources. It explains that although they have gone to different schools, they almost have similar multicultural self-efficacy.</w:t>
      </w:r>
    </w:p>
    <w:p w14:paraId="293DE700" w14:textId="77777777" w:rsidR="004B334D" w:rsidRPr="00C51CE2" w:rsidRDefault="004B334D" w:rsidP="004B334D">
      <w:pPr>
        <w:widowControl w:val="0"/>
        <w:autoSpaceDE w:val="0"/>
        <w:autoSpaceDN w:val="0"/>
        <w:adjustRightInd w:val="0"/>
        <w:jc w:val="both"/>
        <w:rPr>
          <w:color w:val="000000" w:themeColor="text1"/>
        </w:rPr>
      </w:pPr>
    </w:p>
    <w:p w14:paraId="46D3A166" w14:textId="77777777" w:rsidR="004B334D" w:rsidRPr="00C51CE2" w:rsidRDefault="004B334D" w:rsidP="004B334D">
      <w:pPr>
        <w:jc w:val="both"/>
        <w:rPr>
          <w:rFonts w:cstheme="minorHAnsi"/>
          <w:b/>
          <w:color w:val="000000" w:themeColor="text1"/>
        </w:rPr>
      </w:pPr>
      <w:r w:rsidRPr="00C51CE2">
        <w:rPr>
          <w:rFonts w:cstheme="minorHAnsi"/>
          <w:b/>
          <w:color w:val="000000" w:themeColor="text1"/>
        </w:rPr>
        <w:t>Implications</w:t>
      </w:r>
    </w:p>
    <w:p w14:paraId="3FE39AF3" w14:textId="77777777" w:rsidR="004B334D" w:rsidRPr="00C51CE2" w:rsidRDefault="004B334D" w:rsidP="004B334D">
      <w:pPr>
        <w:jc w:val="both"/>
        <w:rPr>
          <w:color w:val="000000" w:themeColor="text1"/>
        </w:rPr>
      </w:pPr>
      <w:r w:rsidRPr="00C51CE2">
        <w:rPr>
          <w:color w:val="000000" w:themeColor="text1"/>
        </w:rPr>
        <w:t>This study has implications for school counseling services, particularly in the delivery system of basic service or guidance curriculum. Most students of both high schools have had adequate multicultural self-efficacy. In order to improve such attainment, school counseling service at Islamic and public high schools need to enrich program which enables them to promote a multicultural atmosphere in-house as well as outside activities. For instance, in house activities, students are given opportunities to share their cultures with one another directly on various occasions, such as curricular, extracurricular, and cultural celebration activities. In outside activities, students are given opportunities to visit other schools for cultural exchange at consecutive times. School counselors as the ultimate personnel of guidance and counseling services may also promote multicultural self-efficacy encompassing cultural insight, communication, cultural values, cultural awareness, and flexibility as part of multicultural education in school settings via large group guidance service which makes enactive mastery learning and vicarious experience occur naturally. Problem-based approach along with simulation methods would be beneficial and meaningful if implemented in the service.</w:t>
      </w:r>
    </w:p>
    <w:p w14:paraId="19BC2E67" w14:textId="77777777" w:rsidR="004B334D" w:rsidRPr="00C51CE2" w:rsidRDefault="004B334D" w:rsidP="004B334D">
      <w:pPr>
        <w:ind w:firstLine="720"/>
        <w:jc w:val="both"/>
        <w:rPr>
          <w:color w:val="000000" w:themeColor="text1"/>
        </w:rPr>
      </w:pPr>
    </w:p>
    <w:p w14:paraId="634CDBE4" w14:textId="77777777" w:rsidR="004B334D" w:rsidRPr="00C51CE2" w:rsidRDefault="004B334D" w:rsidP="004B334D">
      <w:pPr>
        <w:jc w:val="both"/>
        <w:rPr>
          <w:rFonts w:cstheme="minorHAnsi"/>
          <w:b/>
          <w:color w:val="000000" w:themeColor="text1"/>
        </w:rPr>
      </w:pPr>
      <w:r w:rsidRPr="00C51CE2">
        <w:rPr>
          <w:rFonts w:cstheme="minorHAnsi"/>
          <w:b/>
          <w:color w:val="000000" w:themeColor="text1"/>
        </w:rPr>
        <w:t>Limitations and Future Direction</w:t>
      </w:r>
    </w:p>
    <w:p w14:paraId="169C95B1" w14:textId="77777777" w:rsidR="004B334D" w:rsidRPr="00C51CE2" w:rsidRDefault="004B334D" w:rsidP="004B334D">
      <w:pPr>
        <w:jc w:val="both"/>
        <w:rPr>
          <w:color w:val="000000" w:themeColor="text1"/>
        </w:rPr>
      </w:pPr>
      <w:r w:rsidRPr="00C51CE2">
        <w:rPr>
          <w:color w:val="000000" w:themeColor="text1"/>
        </w:rPr>
        <w:t xml:space="preserve">Some limitations of this study have  recognized. Smaller samples than targeted make the composition of respondents not proportional enough and leads to limit generalization. Multicultural self-efficacy analysis based on student ethnicity has not  carried out due to students’ confusion about their ethnic identity in terms of cultural practice. Additionally, an online survey has weakness in ensuring all participating samples complete the scale according to the research schedule. Future study may consider more sample sizes, schools, and students’ ethnicities for comprehensive results. If possible, incoming studies have to also focus on Islamic and public high schools in other areas in this province and other provinces </w:t>
      </w:r>
      <w:r w:rsidRPr="00C51CE2">
        <w:rPr>
          <w:color w:val="000000" w:themeColor="text1"/>
        </w:rPr>
        <w:lastRenderedPageBreak/>
        <w:t>that some surveys are less tolerant. Mixed-method approach is recommended to grasp the deeper meaning of students’ multicultural self-efficacy as well as multicultural competencies.</w:t>
      </w:r>
    </w:p>
    <w:p w14:paraId="1027754E" w14:textId="77777777" w:rsidR="004B334D" w:rsidRPr="00C51CE2" w:rsidRDefault="004B334D" w:rsidP="004B334D">
      <w:pPr>
        <w:jc w:val="both"/>
        <w:rPr>
          <w:color w:val="000000" w:themeColor="text1"/>
        </w:rPr>
      </w:pPr>
    </w:p>
    <w:p w14:paraId="54CBE82F" w14:textId="77777777" w:rsidR="004B334D" w:rsidRPr="00C51CE2" w:rsidRDefault="004B334D" w:rsidP="004B334D">
      <w:pPr>
        <w:pStyle w:val="NormalWeb"/>
        <w:spacing w:before="0" w:beforeAutospacing="0" w:after="0" w:afterAutospacing="0"/>
        <w:rPr>
          <w:rFonts w:asciiTheme="minorHAnsi" w:eastAsia="Times New Roman" w:hAnsiTheme="minorHAnsi" w:cstheme="minorHAnsi"/>
          <w:b/>
          <w:color w:val="000000" w:themeColor="text1"/>
          <w:lang w:val="en-PH"/>
        </w:rPr>
      </w:pPr>
      <w:r w:rsidRPr="00C51CE2">
        <w:rPr>
          <w:rFonts w:asciiTheme="minorHAnsi" w:eastAsia="Times New Roman" w:hAnsiTheme="minorHAnsi" w:cstheme="minorHAnsi"/>
          <w:b/>
          <w:color w:val="000000" w:themeColor="text1"/>
          <w:lang w:val="en-PH"/>
        </w:rPr>
        <w:t>CONCLUSIONS</w:t>
      </w:r>
    </w:p>
    <w:p w14:paraId="2D972B6B" w14:textId="77777777" w:rsidR="004B334D" w:rsidRPr="00C51CE2" w:rsidRDefault="004B334D" w:rsidP="004B334D">
      <w:pPr>
        <w:pStyle w:val="NormalWeb"/>
        <w:spacing w:before="0" w:beforeAutospacing="0" w:after="0" w:afterAutospacing="0"/>
        <w:rPr>
          <w:rFonts w:asciiTheme="minorHAnsi" w:eastAsia="Times New Roman" w:hAnsiTheme="minorHAnsi" w:cstheme="minorHAnsi"/>
          <w:b/>
          <w:color w:val="000000" w:themeColor="text1"/>
          <w:lang w:val="en-PH"/>
        </w:rPr>
      </w:pPr>
    </w:p>
    <w:p w14:paraId="1B696145" w14:textId="77777777" w:rsidR="004B334D" w:rsidRPr="00C51CE2" w:rsidRDefault="004B334D" w:rsidP="004B334D">
      <w:pPr>
        <w:pStyle w:val="NormalWeb"/>
        <w:spacing w:before="0" w:beforeAutospacing="0" w:after="0" w:afterAutospacing="0"/>
        <w:jc w:val="both"/>
        <w:rPr>
          <w:rFonts w:eastAsia="Times New Roman"/>
          <w:b/>
          <w:color w:val="000000" w:themeColor="text1"/>
          <w:lang w:val="en-PH"/>
        </w:rPr>
      </w:pPr>
      <w:r w:rsidRPr="00C0219F">
        <w:rPr>
          <w:rFonts w:eastAsia="Times New Roman"/>
          <w:color w:val="000000" w:themeColor="text1"/>
          <w:highlight w:val="yellow"/>
          <w:lang w:val="en-PH"/>
        </w:rPr>
        <w:t>The current study describes hypothetical findings of students’ multicultural self-efficacy levels based on school types, grade level, and gender concerning items of MSES-HS. Results suggest the students’ multicultural self-efficacy spread out between the lowest to the highest levels, where the trend is moderate to high. More data analysis indicates that male and female students and 10th, 11th, and 12th are not different in multicultural self-efficacy. The positivity of the findings possibly relates to the efforts of families, schools, and communities in fostering multicultural life through the social process so that students benefit from nurturing cultural atmosphere. Implications of the current study for school counselors of Islamic and public high schools are to enrich the guidance curriculum of basic service addressed to all students to facilitate their multicultural self-efficacy development success.</w:t>
      </w:r>
      <w:r w:rsidRPr="00C51CE2">
        <w:rPr>
          <w:rFonts w:eastAsia="Times New Roman"/>
          <w:color w:val="000000" w:themeColor="text1"/>
          <w:lang w:val="en-PH"/>
        </w:rPr>
        <w:t xml:space="preserve">  </w:t>
      </w:r>
    </w:p>
    <w:p w14:paraId="34C54CCA" w14:textId="77777777" w:rsidR="004B334D" w:rsidRDefault="004B334D" w:rsidP="004B334D">
      <w:pPr>
        <w:ind w:left="567" w:hanging="567"/>
        <w:jc w:val="center"/>
        <w:rPr>
          <w:b/>
          <w:color w:val="000000" w:themeColor="text1"/>
        </w:rPr>
      </w:pPr>
    </w:p>
    <w:p w14:paraId="101FA81E" w14:textId="77777777" w:rsidR="004B334D" w:rsidRPr="00C51CE2" w:rsidRDefault="004B334D" w:rsidP="004B334D">
      <w:pPr>
        <w:ind w:left="567" w:hanging="567"/>
        <w:jc w:val="center"/>
        <w:rPr>
          <w:b/>
          <w:color w:val="000000" w:themeColor="text1"/>
        </w:rPr>
      </w:pPr>
      <w:commentRangeStart w:id="23"/>
      <w:commentRangeStart w:id="24"/>
      <w:r w:rsidRPr="00C51CE2">
        <w:rPr>
          <w:b/>
          <w:color w:val="000000" w:themeColor="text1"/>
        </w:rPr>
        <w:t>REFERENCES</w:t>
      </w:r>
      <w:commentRangeEnd w:id="23"/>
      <w:r w:rsidRPr="00C51CE2">
        <w:rPr>
          <w:rStyle w:val="CommentReference"/>
          <w:color w:val="000000" w:themeColor="text1"/>
        </w:rPr>
        <w:commentReference w:id="23"/>
      </w:r>
      <w:commentRangeEnd w:id="24"/>
      <w:r>
        <w:rPr>
          <w:rStyle w:val="CommentReference"/>
        </w:rPr>
        <w:commentReference w:id="24"/>
      </w:r>
    </w:p>
    <w:p w14:paraId="29814C5C" w14:textId="77777777" w:rsidR="004B334D" w:rsidRPr="00C51CE2" w:rsidRDefault="004B334D" w:rsidP="004B334D">
      <w:pPr>
        <w:ind w:left="567" w:hanging="567"/>
        <w:jc w:val="center"/>
        <w:rPr>
          <w:b/>
          <w:color w:val="000000" w:themeColor="text1"/>
        </w:rPr>
      </w:pPr>
    </w:p>
    <w:p w14:paraId="605B2782" w14:textId="77777777" w:rsidR="004B334D" w:rsidRPr="00C0219F" w:rsidRDefault="004B334D" w:rsidP="004B334D">
      <w:pPr>
        <w:widowControl w:val="0"/>
        <w:autoSpaceDE w:val="0"/>
        <w:autoSpaceDN w:val="0"/>
        <w:adjustRightInd w:val="0"/>
        <w:ind w:left="480" w:hanging="480"/>
        <w:rPr>
          <w:noProof/>
          <w:lang w:val="en-US"/>
        </w:rPr>
      </w:pPr>
      <w:r w:rsidRPr="00C51CE2">
        <w:rPr>
          <w:b/>
          <w:color w:val="000000" w:themeColor="text1"/>
        </w:rPr>
        <w:fldChar w:fldCharType="begin" w:fldLock="1"/>
      </w:r>
      <w:r w:rsidRPr="00C51CE2">
        <w:rPr>
          <w:b/>
          <w:color w:val="000000" w:themeColor="text1"/>
        </w:rPr>
        <w:instrText xml:space="preserve">ADDIN Mendeley Bibliography CSL_BIBLIOGRAPHY </w:instrText>
      </w:r>
      <w:r w:rsidRPr="00C51CE2">
        <w:rPr>
          <w:b/>
          <w:color w:val="000000" w:themeColor="text1"/>
        </w:rPr>
        <w:fldChar w:fldCharType="separate"/>
      </w:r>
      <w:r w:rsidRPr="00C0219F">
        <w:rPr>
          <w:noProof/>
          <w:lang w:val="en-US"/>
        </w:rPr>
        <w:t xml:space="preserve">Abdullah, M. (2019). School culture to serve performance of madrasah in Indonesia. </w:t>
      </w:r>
      <w:r w:rsidRPr="00C0219F">
        <w:rPr>
          <w:i/>
          <w:iCs/>
          <w:noProof/>
          <w:lang w:val="en-US"/>
        </w:rPr>
        <w:t>Qudus International Journal of Islamic Studies</w:t>
      </w:r>
      <w:r w:rsidRPr="00C0219F">
        <w:rPr>
          <w:noProof/>
          <w:lang w:val="en-US"/>
        </w:rPr>
        <w:t xml:space="preserve">, </w:t>
      </w:r>
      <w:r w:rsidRPr="00C0219F">
        <w:rPr>
          <w:i/>
          <w:iCs/>
          <w:noProof/>
          <w:lang w:val="en-US"/>
        </w:rPr>
        <w:t>7</w:t>
      </w:r>
      <w:r w:rsidRPr="00C0219F">
        <w:rPr>
          <w:noProof/>
          <w:lang w:val="en-US"/>
        </w:rPr>
        <w:t>(1), 71–100.</w:t>
      </w:r>
    </w:p>
    <w:p w14:paraId="24078803"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Acker, S., &amp; Oatley, K. (1993). Gender Issues in Education for Science and Technology: Current Situation and Prospects for Change. </w:t>
      </w:r>
      <w:r w:rsidRPr="00C0219F">
        <w:rPr>
          <w:i/>
          <w:iCs/>
          <w:noProof/>
          <w:lang w:val="en-US"/>
        </w:rPr>
        <w:t>Canadian Journal of Education</w:t>
      </w:r>
      <w:r w:rsidRPr="00C0219F">
        <w:rPr>
          <w:noProof/>
          <w:lang w:val="en-US"/>
        </w:rPr>
        <w:t xml:space="preserve">, </w:t>
      </w:r>
      <w:r w:rsidRPr="00C0219F">
        <w:rPr>
          <w:i/>
          <w:iCs/>
          <w:noProof/>
          <w:lang w:val="en-US"/>
        </w:rPr>
        <w:t>18</w:t>
      </w:r>
      <w:r w:rsidRPr="00C0219F">
        <w:rPr>
          <w:noProof/>
          <w:lang w:val="en-US"/>
        </w:rPr>
        <w:t>(3), 255. https://doi.org/10.2307/1495386</w:t>
      </w:r>
    </w:p>
    <w:p w14:paraId="4FF99023"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Aini, N. (2012). Domestifikasi etnisitas: Pemekaran wilayah dan rutinisasi kekerasan antar etnis di Maluku Utara. </w:t>
      </w:r>
      <w:r w:rsidRPr="00C0219F">
        <w:rPr>
          <w:i/>
          <w:iCs/>
          <w:noProof/>
          <w:lang w:val="en-US"/>
        </w:rPr>
        <w:t>Jurnal Pemikiran Sosiologi</w:t>
      </w:r>
      <w:r w:rsidRPr="00C0219F">
        <w:rPr>
          <w:noProof/>
          <w:lang w:val="en-US"/>
        </w:rPr>
        <w:t xml:space="preserve">, </w:t>
      </w:r>
      <w:r w:rsidRPr="00C0219F">
        <w:rPr>
          <w:i/>
          <w:iCs/>
          <w:noProof/>
          <w:lang w:val="en-US"/>
        </w:rPr>
        <w:t>1</w:t>
      </w:r>
      <w:r w:rsidRPr="00C0219F">
        <w:rPr>
          <w:noProof/>
          <w:lang w:val="en-US"/>
        </w:rPr>
        <w:t>(1).</w:t>
      </w:r>
    </w:p>
    <w:p w14:paraId="341B7FA2"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Aisida, S. (2021). Values of Multicultural Islamic Education In Islamic Studies at High School. </w:t>
      </w:r>
      <w:r w:rsidRPr="00C0219F">
        <w:rPr>
          <w:i/>
          <w:iCs/>
          <w:noProof/>
          <w:lang w:val="en-US"/>
        </w:rPr>
        <w:t>EDUTEC: Journal of Education And Technology</w:t>
      </w:r>
      <w:r w:rsidRPr="00C0219F">
        <w:rPr>
          <w:noProof/>
          <w:lang w:val="en-US"/>
        </w:rPr>
        <w:t xml:space="preserve">, </w:t>
      </w:r>
      <w:r w:rsidRPr="00C0219F">
        <w:rPr>
          <w:i/>
          <w:iCs/>
          <w:noProof/>
          <w:lang w:val="en-US"/>
        </w:rPr>
        <w:t>4</w:t>
      </w:r>
      <w:r w:rsidRPr="00C0219F">
        <w:rPr>
          <w:noProof/>
          <w:lang w:val="en-US"/>
        </w:rPr>
        <w:t>(4), 691–707. http://ejournal.ijshs.org/index.php/edu/article/download/279/222</w:t>
      </w:r>
    </w:p>
    <w:p w14:paraId="1DFC396E"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Amalia, H., Dzulhiza, Z., Fauziati, E., &amp; Marmanto, S. (2019). Male and Female Students’ Preferences on the Oral Corrective Feedback in English as Foreign Language (EFL) Speaking Classroom. </w:t>
      </w:r>
      <w:r w:rsidRPr="00C0219F">
        <w:rPr>
          <w:i/>
          <w:iCs/>
          <w:noProof/>
          <w:lang w:val="en-US"/>
        </w:rPr>
        <w:t>Humaniora</w:t>
      </w:r>
      <w:r w:rsidRPr="00C0219F">
        <w:rPr>
          <w:noProof/>
          <w:lang w:val="en-US"/>
        </w:rPr>
        <w:t xml:space="preserve">, </w:t>
      </w:r>
      <w:r w:rsidRPr="00C0219F">
        <w:rPr>
          <w:i/>
          <w:iCs/>
          <w:noProof/>
          <w:lang w:val="en-US"/>
        </w:rPr>
        <w:t>10</w:t>
      </w:r>
      <w:r w:rsidRPr="00C0219F">
        <w:rPr>
          <w:noProof/>
          <w:lang w:val="en-US"/>
        </w:rPr>
        <w:t>(1), 25. https://doi.org/10.21512/humaniora.v10i1.5248</w:t>
      </w:r>
    </w:p>
    <w:p w14:paraId="7033E0B0"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Badan Pusat Statistik. (2021). </w:t>
      </w:r>
      <w:r w:rsidRPr="00C0219F">
        <w:rPr>
          <w:i/>
          <w:iCs/>
          <w:noProof/>
          <w:lang w:val="en-US"/>
        </w:rPr>
        <w:t>Jumlah Sekolah, Guru, dan Murid menurut</w:t>
      </w:r>
      <w:r w:rsidRPr="00C0219F">
        <w:rPr>
          <w:noProof/>
          <w:lang w:val="en-US"/>
        </w:rPr>
        <w:t>. Badan Pusat Statistik. https://www.bps.go.id/indikator/indikator/view_data_pub/0000/api_pub/a1lFcnlHNXNYMFlueG8xL0ZOZnU0Zz09/da_04/1</w:t>
      </w:r>
    </w:p>
    <w:p w14:paraId="113FB4D4"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Bahri, S. (2020). Multicultural Education In Islamic Education Philosophy Perspective. </w:t>
      </w:r>
      <w:r w:rsidRPr="00C0219F">
        <w:rPr>
          <w:i/>
          <w:iCs/>
          <w:noProof/>
          <w:lang w:val="en-US"/>
        </w:rPr>
        <w:t>Istawa : Jurnal Pendidikan Islam</w:t>
      </w:r>
      <w:r w:rsidRPr="00C0219F">
        <w:rPr>
          <w:noProof/>
          <w:lang w:val="en-US"/>
        </w:rPr>
        <w:t xml:space="preserve">, </w:t>
      </w:r>
      <w:r w:rsidRPr="00C0219F">
        <w:rPr>
          <w:i/>
          <w:iCs/>
          <w:noProof/>
          <w:lang w:val="en-US"/>
        </w:rPr>
        <w:t>5</w:t>
      </w:r>
      <w:r w:rsidRPr="00C0219F">
        <w:rPr>
          <w:noProof/>
          <w:lang w:val="en-US"/>
        </w:rPr>
        <w:t>(2), 239. https://doi.org/10.24269/ijpi.v5i2.2891</w:t>
      </w:r>
    </w:p>
    <w:p w14:paraId="5408EA47"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Balart, P., &amp; Oosterveen, M. (2019). Females show more sustained performance during test-taking than males. </w:t>
      </w:r>
      <w:r w:rsidRPr="00C0219F">
        <w:rPr>
          <w:i/>
          <w:iCs/>
          <w:noProof/>
          <w:lang w:val="en-US"/>
        </w:rPr>
        <w:t>Nature Communications</w:t>
      </w:r>
      <w:r w:rsidRPr="00C0219F">
        <w:rPr>
          <w:noProof/>
          <w:lang w:val="en-US"/>
        </w:rPr>
        <w:t xml:space="preserve">, </w:t>
      </w:r>
      <w:r w:rsidRPr="00C0219F">
        <w:rPr>
          <w:i/>
          <w:iCs/>
          <w:noProof/>
          <w:lang w:val="en-US"/>
        </w:rPr>
        <w:t>study 2</w:t>
      </w:r>
      <w:r w:rsidRPr="00C0219F">
        <w:rPr>
          <w:noProof/>
          <w:lang w:val="en-US"/>
        </w:rPr>
        <w:t>, 1–11. https://doi.org/10.1038/s41467-019-11691-y</w:t>
      </w:r>
    </w:p>
    <w:p w14:paraId="751087A5"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Bandura, A. (1982). Self-efficacy Mechanism in human agency. In </w:t>
      </w:r>
      <w:r w:rsidRPr="00C0219F">
        <w:rPr>
          <w:i/>
          <w:iCs/>
          <w:noProof/>
          <w:lang w:val="en-US"/>
        </w:rPr>
        <w:t>American Psychologist</w:t>
      </w:r>
      <w:r w:rsidRPr="00C0219F">
        <w:rPr>
          <w:noProof/>
          <w:lang w:val="en-US"/>
        </w:rPr>
        <w:t xml:space="preserve"> (Vol. 37, Issue 2, pp. 122–147).</w:t>
      </w:r>
    </w:p>
    <w:p w14:paraId="1630CDB0"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Bandura, A. (1997). </w:t>
      </w:r>
      <w:r w:rsidRPr="00C0219F">
        <w:rPr>
          <w:i/>
          <w:iCs/>
          <w:noProof/>
          <w:lang w:val="en-US"/>
        </w:rPr>
        <w:t>Self-efficacy: The exercise of control</w:t>
      </w:r>
      <w:r w:rsidRPr="00C0219F">
        <w:rPr>
          <w:noProof/>
          <w:lang w:val="en-US"/>
        </w:rPr>
        <w:t>. W. Freeman and Company.</w:t>
      </w:r>
    </w:p>
    <w:p w14:paraId="694F9F71"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Bandura, A., &amp; Locke, E. A. (2003). Negative self-efficacy and goal effects revisited. </w:t>
      </w:r>
      <w:r w:rsidRPr="00C0219F">
        <w:rPr>
          <w:i/>
          <w:iCs/>
          <w:noProof/>
          <w:lang w:val="en-US"/>
        </w:rPr>
        <w:t>Journal of Applied Psychology</w:t>
      </w:r>
      <w:r w:rsidRPr="00C0219F">
        <w:rPr>
          <w:noProof/>
          <w:lang w:val="en-US"/>
        </w:rPr>
        <w:t xml:space="preserve">, </w:t>
      </w:r>
      <w:r w:rsidRPr="00C0219F">
        <w:rPr>
          <w:i/>
          <w:iCs/>
          <w:noProof/>
          <w:lang w:val="en-US"/>
        </w:rPr>
        <w:t>88</w:t>
      </w:r>
      <w:r w:rsidRPr="00C0219F">
        <w:rPr>
          <w:noProof/>
          <w:lang w:val="en-US"/>
        </w:rPr>
        <w:t>(1), 87–99. https://doi.org/10.1037/0021-9010.88.1.87</w:t>
      </w:r>
    </w:p>
    <w:p w14:paraId="2EA4AF55"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Banks, J. A. (2014). Multicultural education and global citizen. In Benet-Martínez &amp; Ying-Yi Hong (Eds.), </w:t>
      </w:r>
      <w:r w:rsidRPr="00C0219F">
        <w:rPr>
          <w:i/>
          <w:iCs/>
          <w:noProof/>
          <w:lang w:val="en-US"/>
        </w:rPr>
        <w:t>Multicultural Education and Global Citizen</w:t>
      </w:r>
      <w:r w:rsidRPr="00C0219F">
        <w:rPr>
          <w:noProof/>
          <w:lang w:val="en-US"/>
        </w:rPr>
        <w:t xml:space="preserve"> (p. 561). Oxfor Library of </w:t>
      </w:r>
      <w:r w:rsidRPr="00C0219F">
        <w:rPr>
          <w:noProof/>
          <w:lang w:val="en-US"/>
        </w:rPr>
        <w:lastRenderedPageBreak/>
        <w:t>Psychology.</w:t>
      </w:r>
    </w:p>
    <w:p w14:paraId="7EE71E53"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Belser. (2017). Counseling and psychotherapy with children and adolescents: Theories and practices. In J. Ziomek-Daigle (Ed.), </w:t>
      </w:r>
      <w:r w:rsidRPr="00C0219F">
        <w:rPr>
          <w:i/>
          <w:iCs/>
          <w:noProof/>
          <w:lang w:val="en-US"/>
        </w:rPr>
        <w:t>Counseling Children and Adolescents</w:t>
      </w:r>
      <w:r w:rsidRPr="00C0219F">
        <w:rPr>
          <w:noProof/>
          <w:lang w:val="en-US"/>
        </w:rPr>
        <w:t xml:space="preserve"> (pp. 12–42). Routledge.</w:t>
      </w:r>
    </w:p>
    <w:p w14:paraId="03835D2D"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Bogaerts, E. (1965). Whither Indonesian Culture?’: Rethinking ‘Culture’ in Indonesia in a Time of Decolonization. In Jennifer Lindsay &amp; Maya H.T. Liem (Ed.), </w:t>
      </w:r>
      <w:r w:rsidRPr="00C0219F">
        <w:rPr>
          <w:i/>
          <w:iCs/>
          <w:noProof/>
          <w:lang w:val="en-US"/>
        </w:rPr>
        <w:t>Heirs to World Culture: 1950-1965</w:t>
      </w:r>
      <w:r w:rsidRPr="00C0219F">
        <w:rPr>
          <w:noProof/>
          <w:lang w:val="en-US"/>
        </w:rPr>
        <w:t xml:space="preserve"> (Issue May 2021, pp. 1950–1965). Brill.</w:t>
      </w:r>
    </w:p>
    <w:p w14:paraId="619A471C"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Burger, C., Raelin, J. A., Reisberl, R. M., Baile, M. B., &amp; Whitman, D. (2010). Self-efficacy in female and male undergraduate engineering students: Comparisons among four institutions. </w:t>
      </w:r>
      <w:r w:rsidRPr="00C0219F">
        <w:rPr>
          <w:i/>
          <w:iCs/>
          <w:noProof/>
          <w:lang w:val="en-US"/>
        </w:rPr>
        <w:t>2010 ASEE Southeast Section Conference</w:t>
      </w:r>
      <w:r w:rsidRPr="00C0219F">
        <w:rPr>
          <w:noProof/>
          <w:lang w:val="en-US"/>
        </w:rPr>
        <w:t>, 9. https://coe.northeastern.edu/pathways/female-male.pdf</w:t>
      </w:r>
    </w:p>
    <w:p w14:paraId="76A6ED1D"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Chao, M. M., Okazaki, S., &amp; Hong, Y. (2011). </w:t>
      </w:r>
      <w:r w:rsidRPr="00C0219F">
        <w:rPr>
          <w:i/>
          <w:iCs/>
          <w:noProof/>
          <w:lang w:val="en-US"/>
        </w:rPr>
        <w:t>The quest for multicultural competence: Challenges and lessons learned from clinical and organizational</w:t>
      </w:r>
      <w:r w:rsidRPr="00C0219F">
        <w:rPr>
          <w:noProof/>
          <w:lang w:val="en-US"/>
        </w:rPr>
        <w:t xml:space="preserve">. </w:t>
      </w:r>
      <w:r w:rsidRPr="00C0219F">
        <w:rPr>
          <w:i/>
          <w:iCs/>
          <w:noProof/>
          <w:lang w:val="en-US"/>
        </w:rPr>
        <w:t>5</w:t>
      </w:r>
      <w:r w:rsidRPr="00C0219F">
        <w:rPr>
          <w:noProof/>
          <w:lang w:val="en-US"/>
        </w:rPr>
        <w:t>, 263–274.</w:t>
      </w:r>
    </w:p>
    <w:p w14:paraId="7CE3599B"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Chiu, C. Y., Matsumoto, D., &amp; Ward, C. (2013). </w:t>
      </w:r>
      <w:r w:rsidRPr="00C0219F">
        <w:rPr>
          <w:i/>
          <w:iCs/>
          <w:noProof/>
          <w:lang w:val="en-US"/>
        </w:rPr>
        <w:t>Cross-cultural competence: Theory, research , and application</w:t>
      </w:r>
      <w:r w:rsidRPr="00C0219F">
        <w:rPr>
          <w:noProof/>
          <w:lang w:val="en-US"/>
        </w:rPr>
        <w:t xml:space="preserve">. </w:t>
      </w:r>
      <w:r w:rsidRPr="00C0219F">
        <w:rPr>
          <w:i/>
          <w:iCs/>
          <w:noProof/>
          <w:lang w:val="en-US"/>
        </w:rPr>
        <w:t>February 2019</w:t>
      </w:r>
      <w:r w:rsidRPr="00C0219F">
        <w:rPr>
          <w:noProof/>
          <w:lang w:val="en-US"/>
        </w:rPr>
        <w:t>. https://doi.org/10.1177/0022022113493716</w:t>
      </w:r>
    </w:p>
    <w:p w14:paraId="38F19B0D"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Convertino, C., Levinson, B. A., &amp; Gonzalez, N. (2013). Culture, teaching, and learning. In J. A. Banks &amp; C. A. M. Banks (Eds.), </w:t>
      </w:r>
      <w:r w:rsidRPr="00C0219F">
        <w:rPr>
          <w:i/>
          <w:iCs/>
          <w:noProof/>
          <w:lang w:val="en-US"/>
        </w:rPr>
        <w:t>Multicultural Education: Issues and Perspectives</w:t>
      </w:r>
      <w:r w:rsidRPr="00C0219F">
        <w:rPr>
          <w:noProof/>
          <w:lang w:val="en-US"/>
        </w:rPr>
        <w:t xml:space="preserve"> (8th ed., pp. 25–42). Wiley.</w:t>
      </w:r>
    </w:p>
    <w:p w14:paraId="27D6126C"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Delors, J. (1996). </w:t>
      </w:r>
      <w:r w:rsidRPr="00C0219F">
        <w:rPr>
          <w:i/>
          <w:iCs/>
          <w:noProof/>
          <w:lang w:val="en-US"/>
        </w:rPr>
        <w:t>Learning: The treasure within</w:t>
      </w:r>
      <w:r w:rsidRPr="00C0219F">
        <w:rPr>
          <w:noProof/>
          <w:lang w:val="en-US"/>
        </w:rPr>
        <w:t>. https://unesdoc.unesco.org/ark:/48223/pf0000109590</w:t>
      </w:r>
    </w:p>
    <w:p w14:paraId="5A8D84C3"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Diaz-Leon, E. (2013). </w:t>
      </w:r>
      <w:r w:rsidRPr="00C0219F">
        <w:rPr>
          <w:i/>
          <w:iCs/>
          <w:noProof/>
          <w:lang w:val="en-US"/>
        </w:rPr>
        <w:t>What Is social construction ?</w:t>
      </w:r>
      <w:r w:rsidRPr="00C0219F">
        <w:rPr>
          <w:noProof/>
          <w:lang w:val="en-US"/>
        </w:rPr>
        <w:t xml:space="preserve"> 1137–1152. https://doi.org/10.1111/ejop.12033</w:t>
      </w:r>
    </w:p>
    <w:p w14:paraId="022B0A48"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Friebel, G., Lalanne, M., Richter, B., Schwardmann, P., &amp; Seabright, P. (2021). Gender differences in social interactions. </w:t>
      </w:r>
      <w:r w:rsidRPr="00C0219F">
        <w:rPr>
          <w:i/>
          <w:iCs/>
          <w:noProof/>
          <w:lang w:val="en-US"/>
        </w:rPr>
        <w:t>Journal of Economic Behavior and Organization</w:t>
      </w:r>
      <w:r w:rsidRPr="00C0219F">
        <w:rPr>
          <w:noProof/>
          <w:lang w:val="en-US"/>
        </w:rPr>
        <w:t xml:space="preserve">, </w:t>
      </w:r>
      <w:r w:rsidRPr="00C0219F">
        <w:rPr>
          <w:i/>
          <w:iCs/>
          <w:noProof/>
          <w:lang w:val="en-US"/>
        </w:rPr>
        <w:t>186</w:t>
      </w:r>
      <w:r w:rsidRPr="00C0219F">
        <w:rPr>
          <w:noProof/>
          <w:lang w:val="en-US"/>
        </w:rPr>
        <w:t>, 33–45. https://doi.org/10.1016/j.jebo.2021.03.016</w:t>
      </w:r>
    </w:p>
    <w:p w14:paraId="48360CAD"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Futaesaku, K. (2019). </w:t>
      </w:r>
      <w:r w:rsidRPr="00C0219F">
        <w:rPr>
          <w:i/>
          <w:iCs/>
          <w:noProof/>
          <w:lang w:val="en-US"/>
        </w:rPr>
        <w:t>Reconstruction and Transformation of Regional Culture Through Tourism: The case of Bangka Belitung Province</w:t>
      </w:r>
      <w:r w:rsidRPr="00C0219F">
        <w:rPr>
          <w:noProof/>
          <w:lang w:val="en-US"/>
        </w:rPr>
        <w:t xml:space="preserve">. </w:t>
      </w:r>
      <w:r w:rsidRPr="00C0219F">
        <w:rPr>
          <w:i/>
          <w:iCs/>
          <w:noProof/>
          <w:lang w:val="en-US"/>
        </w:rPr>
        <w:t>367</w:t>
      </w:r>
      <w:r w:rsidRPr="00C0219F">
        <w:rPr>
          <w:noProof/>
          <w:lang w:val="en-US"/>
        </w:rPr>
        <w:t>(ICDeSA), 50–55. https://doi.org/10.2991/icdesa-19.2019.11</w:t>
      </w:r>
    </w:p>
    <w:p w14:paraId="5C911C3E"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Geertz, C. (1984). </w:t>
      </w:r>
      <w:r w:rsidRPr="00C0219F">
        <w:rPr>
          <w:i/>
          <w:iCs/>
          <w:noProof/>
          <w:lang w:val="en-US"/>
        </w:rPr>
        <w:t>Culture and Social Change: Indonesian Case</w:t>
      </w:r>
      <w:r w:rsidRPr="00C0219F">
        <w:rPr>
          <w:noProof/>
          <w:lang w:val="en-US"/>
        </w:rPr>
        <w:t xml:space="preserve">. </w:t>
      </w:r>
      <w:r w:rsidRPr="00C0219F">
        <w:rPr>
          <w:i/>
          <w:iCs/>
          <w:noProof/>
          <w:lang w:val="en-US"/>
        </w:rPr>
        <w:t>19</w:t>
      </w:r>
      <w:r w:rsidRPr="00C0219F">
        <w:rPr>
          <w:noProof/>
          <w:lang w:val="en-US"/>
        </w:rPr>
        <w:t>(4), 511–532. https://doi.org/10.2307/2802324</w:t>
      </w:r>
    </w:p>
    <w:p w14:paraId="45F56DBC"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Guo, W. (2020). Grade-Level Differences in Teacher Feedback and Students’ Self-Regulated Learning. </w:t>
      </w:r>
      <w:r w:rsidRPr="00C0219F">
        <w:rPr>
          <w:i/>
          <w:iCs/>
          <w:noProof/>
          <w:lang w:val="en-US"/>
        </w:rPr>
        <w:t>Frontiers in Psychology</w:t>
      </w:r>
      <w:r w:rsidRPr="00C0219F">
        <w:rPr>
          <w:noProof/>
          <w:lang w:val="en-US"/>
        </w:rPr>
        <w:t xml:space="preserve">, </w:t>
      </w:r>
      <w:r w:rsidRPr="00C0219F">
        <w:rPr>
          <w:i/>
          <w:iCs/>
          <w:noProof/>
          <w:lang w:val="en-US"/>
        </w:rPr>
        <w:t>11</w:t>
      </w:r>
      <w:r w:rsidRPr="00C0219F">
        <w:rPr>
          <w:noProof/>
          <w:lang w:val="en-US"/>
        </w:rPr>
        <w:t>(May), 1–17. https://doi.org/10.3389/fpsyg.2020.00783</w:t>
      </w:r>
    </w:p>
    <w:p w14:paraId="737F9EC2"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Hadi, I., Ary, M. M., &amp; Haris, I. A. (2018). Faktor-faktor yang Mempengaruhi Keputusan Siswa dalam Memilih Sekolah di Madrasah Aliyah Negeri (MAN) 2 Jembrana sebagai Tempat Belajar. </w:t>
      </w:r>
      <w:r w:rsidRPr="00C0219F">
        <w:rPr>
          <w:i/>
          <w:iCs/>
          <w:noProof/>
          <w:lang w:val="en-US"/>
        </w:rPr>
        <w:t>Jurnal Pendidikan Ekonomi</w:t>
      </w:r>
      <w:r w:rsidRPr="00C0219F">
        <w:rPr>
          <w:noProof/>
          <w:lang w:val="en-US"/>
        </w:rPr>
        <w:t xml:space="preserve">, </w:t>
      </w:r>
      <w:r w:rsidRPr="00C0219F">
        <w:rPr>
          <w:i/>
          <w:iCs/>
          <w:noProof/>
          <w:lang w:val="en-US"/>
        </w:rPr>
        <w:t>10</w:t>
      </w:r>
      <w:r w:rsidRPr="00C0219F">
        <w:rPr>
          <w:noProof/>
          <w:lang w:val="en-US"/>
        </w:rPr>
        <w:t>(2), 584–593. https://ejournal.undiksha.ac.id/index.php/JJPE/article/view/20128/12112</w:t>
      </w:r>
    </w:p>
    <w:p w14:paraId="01FA740A"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Handwerker, W. P. (2002). The Construct Validity of Cultures: Cultural Diversity, Culture Theory, and a Method for Ethnography. </w:t>
      </w:r>
      <w:r w:rsidRPr="00C0219F">
        <w:rPr>
          <w:i/>
          <w:iCs/>
          <w:noProof/>
          <w:lang w:val="en-US"/>
        </w:rPr>
        <w:t>American Anthropologist</w:t>
      </w:r>
      <w:r w:rsidRPr="00C0219F">
        <w:rPr>
          <w:noProof/>
          <w:lang w:val="en-US"/>
        </w:rPr>
        <w:t xml:space="preserve">, </w:t>
      </w:r>
      <w:r w:rsidRPr="00C0219F">
        <w:rPr>
          <w:i/>
          <w:iCs/>
          <w:noProof/>
          <w:lang w:val="en-US"/>
        </w:rPr>
        <w:t>104</w:t>
      </w:r>
      <w:r w:rsidRPr="00C0219F">
        <w:rPr>
          <w:noProof/>
          <w:lang w:val="en-US"/>
        </w:rPr>
        <w:t>(1), 106–122. https://doi.org/10.1525/aa.2002.104.1.106</w:t>
      </w:r>
    </w:p>
    <w:p w14:paraId="004244FB"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Hansen-thomas, H., &amp; Chennapragada, S. (2018). </w:t>
      </w:r>
      <w:r w:rsidRPr="00C0219F">
        <w:rPr>
          <w:i/>
          <w:iCs/>
          <w:noProof/>
          <w:lang w:val="en-US"/>
        </w:rPr>
        <w:t>Culture clash in the multicultural classroom: A case study from a newcomer school</w:t>
      </w:r>
      <w:r w:rsidRPr="00C0219F">
        <w:rPr>
          <w:noProof/>
          <w:lang w:val="en-US"/>
        </w:rPr>
        <w:t xml:space="preserve">. </w:t>
      </w:r>
      <w:r w:rsidRPr="00C0219F">
        <w:rPr>
          <w:i/>
          <w:iCs/>
          <w:noProof/>
          <w:lang w:val="en-US"/>
        </w:rPr>
        <w:t>11</w:t>
      </w:r>
      <w:r w:rsidRPr="00C0219F">
        <w:rPr>
          <w:noProof/>
          <w:lang w:val="en-US"/>
        </w:rPr>
        <w:t>(4), 82–90. https://doi.org/10.5539/elt.v11n4p82</w:t>
      </w:r>
    </w:p>
    <w:p w14:paraId="095CFE26"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Havighurst, R. J. (1956). Research on the Developmental-Task Concept. </w:t>
      </w:r>
      <w:r w:rsidRPr="00C0219F">
        <w:rPr>
          <w:i/>
          <w:iCs/>
          <w:noProof/>
          <w:lang w:val="en-US"/>
        </w:rPr>
        <w:t>The School Review</w:t>
      </w:r>
      <w:r w:rsidRPr="00C0219F">
        <w:rPr>
          <w:noProof/>
          <w:lang w:val="en-US"/>
        </w:rPr>
        <w:t xml:space="preserve">, </w:t>
      </w:r>
      <w:r w:rsidRPr="00C0219F">
        <w:rPr>
          <w:i/>
          <w:iCs/>
          <w:noProof/>
          <w:lang w:val="en-US"/>
        </w:rPr>
        <w:t>64</w:t>
      </w:r>
      <w:r w:rsidRPr="00C0219F">
        <w:rPr>
          <w:noProof/>
          <w:lang w:val="en-US"/>
        </w:rPr>
        <w:t>(5), 215–223. https://doi.org/10.1086/442319</w:t>
      </w:r>
    </w:p>
    <w:p w14:paraId="4F8E9B51"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Hladík, J., Hrbá, K., &amp; So, Ė. (2012). </w:t>
      </w:r>
      <w:r w:rsidRPr="00C0219F">
        <w:rPr>
          <w:i/>
          <w:iCs/>
          <w:noProof/>
          <w:lang w:val="en-US"/>
        </w:rPr>
        <w:t>Individual Importance of Multicultural Competence in relation to Components of Students ’ Self-regulated Learning</w:t>
      </w:r>
      <w:r w:rsidRPr="00C0219F">
        <w:rPr>
          <w:noProof/>
          <w:lang w:val="en-US"/>
        </w:rPr>
        <w:t xml:space="preserve">. </w:t>
      </w:r>
      <w:r w:rsidRPr="00C0219F">
        <w:rPr>
          <w:i/>
          <w:iCs/>
          <w:noProof/>
          <w:lang w:val="en-US"/>
        </w:rPr>
        <w:t>69</w:t>
      </w:r>
      <w:r w:rsidRPr="00C0219F">
        <w:rPr>
          <w:noProof/>
          <w:lang w:val="en-US"/>
        </w:rPr>
        <w:t xml:space="preserve">(Iceepsy), 341–349. </w:t>
      </w:r>
      <w:r w:rsidRPr="00C0219F">
        <w:rPr>
          <w:noProof/>
          <w:lang w:val="en-US"/>
        </w:rPr>
        <w:lastRenderedPageBreak/>
        <w:t>https://doi.org/10.1016/j.sbspro.2012.11.419</w:t>
      </w:r>
    </w:p>
    <w:p w14:paraId="2CE93FC3"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Hong, E., Peng, Y., &amp; Rowell, L. L. (2009). Homework self-regulation: Grade, gender, and achievement-level differences. </w:t>
      </w:r>
      <w:r w:rsidRPr="00C0219F">
        <w:rPr>
          <w:i/>
          <w:iCs/>
          <w:noProof/>
          <w:lang w:val="en-US"/>
        </w:rPr>
        <w:t>Learning and Individual Differences</w:t>
      </w:r>
      <w:r w:rsidRPr="00C0219F">
        <w:rPr>
          <w:noProof/>
          <w:lang w:val="en-US"/>
        </w:rPr>
        <w:t xml:space="preserve">, </w:t>
      </w:r>
      <w:r w:rsidRPr="00C0219F">
        <w:rPr>
          <w:i/>
          <w:iCs/>
          <w:noProof/>
          <w:lang w:val="en-US"/>
        </w:rPr>
        <w:t>19</w:t>
      </w:r>
      <w:r w:rsidRPr="00C0219F">
        <w:rPr>
          <w:noProof/>
          <w:lang w:val="en-US"/>
        </w:rPr>
        <w:t>(2), 269–276. https://doi.org/10.1016/j.lindif.2008.11.009</w:t>
      </w:r>
    </w:p>
    <w:p w14:paraId="0B3FEFFD"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Hong, Y.-Y., &amp; Khei, M. (2014). </w:t>
      </w:r>
      <w:r w:rsidRPr="00C0219F">
        <w:rPr>
          <w:i/>
          <w:iCs/>
          <w:noProof/>
          <w:lang w:val="en-US"/>
        </w:rPr>
        <w:t>The Oxford Handbook of Multicultural Identity</w:t>
      </w:r>
      <w:r w:rsidRPr="00C0219F">
        <w:rPr>
          <w:noProof/>
          <w:lang w:val="en-US"/>
        </w:rPr>
        <w:t xml:space="preserve"> (V. Benet-Martinez &amp; Y.-Y. Hong (eds.); 1st ed., p. 561). Oxford University Press.</w:t>
      </w:r>
    </w:p>
    <w:p w14:paraId="2EE66FB7"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Huang, C. J. (2013). Gender differences in academic self-efficacy: A meta-analysis. </w:t>
      </w:r>
      <w:r w:rsidRPr="00C0219F">
        <w:rPr>
          <w:i/>
          <w:iCs/>
          <w:noProof/>
          <w:lang w:val="en-US"/>
        </w:rPr>
        <w:t>European Journal of Psychology of Education</w:t>
      </w:r>
      <w:r w:rsidRPr="00C0219F">
        <w:rPr>
          <w:noProof/>
          <w:lang w:val="en-US"/>
        </w:rPr>
        <w:t xml:space="preserve">, </w:t>
      </w:r>
      <w:r w:rsidRPr="00C0219F">
        <w:rPr>
          <w:i/>
          <w:iCs/>
          <w:noProof/>
          <w:lang w:val="en-US"/>
        </w:rPr>
        <w:t>28</w:t>
      </w:r>
      <w:r w:rsidRPr="00C0219F">
        <w:rPr>
          <w:noProof/>
          <w:lang w:val="en-US"/>
        </w:rPr>
        <w:t>(1), 1–5. https://eric.ed.gov/?id=EJ996733</w:t>
      </w:r>
    </w:p>
    <w:p w14:paraId="595878CD"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Hughey, J. R. (2011). Meeting the needs of diverse students: enhancing school counselors ’ experiences. </w:t>
      </w:r>
      <w:r w:rsidRPr="00C0219F">
        <w:rPr>
          <w:i/>
          <w:iCs/>
          <w:noProof/>
          <w:lang w:val="en-US"/>
        </w:rPr>
        <w:t>Educational Considerations</w:t>
      </w:r>
      <w:r w:rsidRPr="00C0219F">
        <w:rPr>
          <w:noProof/>
          <w:lang w:val="en-US"/>
        </w:rPr>
        <w:t xml:space="preserve">, </w:t>
      </w:r>
      <w:r w:rsidRPr="00C0219F">
        <w:rPr>
          <w:i/>
          <w:iCs/>
          <w:noProof/>
          <w:lang w:val="en-US"/>
        </w:rPr>
        <w:t>38</w:t>
      </w:r>
      <w:r w:rsidRPr="00C0219F">
        <w:rPr>
          <w:noProof/>
          <w:lang w:val="en-US"/>
        </w:rPr>
        <w:t>(2), 20–27. https://doi.org/https://doi.org/10.4148/0146-9282.113</w:t>
      </w:r>
    </w:p>
    <w:p w14:paraId="321F2897"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Ibrahim, I., Rendy, R., Sujadmi, S., Pratama Saputra, P., &amp; Febriani, L. (2020). Fan Ngin Tong Ngin Tjit Jong: The assimilation face of grassroot of Chinese ethnic in Bangka Island, Indonesia. </w:t>
      </w:r>
      <w:r w:rsidRPr="00C0219F">
        <w:rPr>
          <w:i/>
          <w:iCs/>
          <w:noProof/>
          <w:lang w:val="en-US"/>
        </w:rPr>
        <w:t>SHS Web of Conferences</w:t>
      </w:r>
      <w:r w:rsidRPr="00C0219F">
        <w:rPr>
          <w:noProof/>
          <w:lang w:val="en-US"/>
        </w:rPr>
        <w:t xml:space="preserve">, </w:t>
      </w:r>
      <w:r w:rsidRPr="00C0219F">
        <w:rPr>
          <w:i/>
          <w:iCs/>
          <w:noProof/>
          <w:lang w:val="en-US"/>
        </w:rPr>
        <w:t>76</w:t>
      </w:r>
      <w:r w:rsidRPr="00C0219F">
        <w:rPr>
          <w:noProof/>
          <w:lang w:val="en-US"/>
        </w:rPr>
        <w:t>, 01013. https://doi.org/10.1051/shsconf/20207601013</w:t>
      </w:r>
    </w:p>
    <w:p w14:paraId="7064F3B5"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Johan, T. S. B. (2020). International World Recognition on Indonesia’s Success in Creating Tolerance of Religion. </w:t>
      </w:r>
      <w:r w:rsidRPr="00C0219F">
        <w:rPr>
          <w:i/>
          <w:iCs/>
          <w:noProof/>
          <w:lang w:val="en-US"/>
        </w:rPr>
        <w:t>The International Conference on Community Development (ICCD)</w:t>
      </w:r>
      <w:r w:rsidRPr="00C0219F">
        <w:rPr>
          <w:noProof/>
          <w:lang w:val="en-US"/>
        </w:rPr>
        <w:t xml:space="preserve">, </w:t>
      </w:r>
      <w:r w:rsidRPr="00C0219F">
        <w:rPr>
          <w:i/>
          <w:iCs/>
          <w:noProof/>
          <w:lang w:val="en-US"/>
        </w:rPr>
        <w:t>477</w:t>
      </w:r>
      <w:r w:rsidRPr="00C0219F">
        <w:rPr>
          <w:noProof/>
          <w:lang w:val="en-US"/>
        </w:rPr>
        <w:t>(Iccd), 722–726. https://doi.org/10.2991/assehr.k.201017.159</w:t>
      </w:r>
    </w:p>
    <w:p w14:paraId="6BE65233"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Jones, T. (2012). Indonesian cultural policy in the reform era. </w:t>
      </w:r>
      <w:r w:rsidRPr="00C0219F">
        <w:rPr>
          <w:i/>
          <w:iCs/>
          <w:noProof/>
          <w:lang w:val="en-US"/>
        </w:rPr>
        <w:t>Indonesia</w:t>
      </w:r>
      <w:r w:rsidRPr="00C0219F">
        <w:rPr>
          <w:noProof/>
          <w:lang w:val="en-US"/>
        </w:rPr>
        <w:t xml:space="preserve">, </w:t>
      </w:r>
      <w:r w:rsidRPr="00C0219F">
        <w:rPr>
          <w:i/>
          <w:iCs/>
          <w:noProof/>
          <w:lang w:val="en-US"/>
        </w:rPr>
        <w:t>2012</w:t>
      </w:r>
      <w:r w:rsidRPr="00C0219F">
        <w:rPr>
          <w:noProof/>
          <w:lang w:val="en-US"/>
        </w:rPr>
        <w:t>(93), 147–176. https://doi.org/10.5728/indonesia.93.0147</w:t>
      </w:r>
    </w:p>
    <w:p w14:paraId="7DEC5AA5"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Khalikin, A., &amp; Reslawati, R. (2021). The Dynamics of Religious Moderation in Bangka Island. </w:t>
      </w:r>
      <w:r w:rsidRPr="00C0219F">
        <w:rPr>
          <w:i/>
          <w:iCs/>
          <w:noProof/>
          <w:lang w:val="en-US"/>
        </w:rPr>
        <w:t>Proceedings of the 3rd International Symposium on Religious Life, ISRL 2020, 2-5 November 2020, Bogor, Indonesia</w:t>
      </w:r>
      <w:r w:rsidRPr="00C0219F">
        <w:rPr>
          <w:noProof/>
          <w:lang w:val="en-US"/>
        </w:rPr>
        <w:t xml:space="preserve">, </w:t>
      </w:r>
      <w:r w:rsidRPr="00C0219F">
        <w:rPr>
          <w:i/>
          <w:iCs/>
          <w:noProof/>
          <w:lang w:val="en-US"/>
        </w:rPr>
        <w:t>3</w:t>
      </w:r>
      <w:r w:rsidRPr="00C0219F">
        <w:rPr>
          <w:noProof/>
          <w:lang w:val="en-US"/>
        </w:rPr>
        <w:t>. https://doi.org/10.4108/eai.2-11-2020.2305035</w:t>
      </w:r>
    </w:p>
    <w:p w14:paraId="6F5E7056"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Klassen, R. M., &amp; Lynch, S. L. (2007). Self-Efficacy From the Perspective of Adolescents With LD and Their Specialist Teachers. </w:t>
      </w:r>
      <w:r w:rsidRPr="00C0219F">
        <w:rPr>
          <w:i/>
          <w:iCs/>
          <w:noProof/>
          <w:lang w:val="en-US"/>
        </w:rPr>
        <w:t>Journal of Learning Disabiity</w:t>
      </w:r>
      <w:r w:rsidRPr="00C0219F">
        <w:rPr>
          <w:noProof/>
          <w:lang w:val="en-US"/>
        </w:rPr>
        <w:t xml:space="preserve">, </w:t>
      </w:r>
      <w:r w:rsidRPr="00C0219F">
        <w:rPr>
          <w:i/>
          <w:iCs/>
          <w:noProof/>
          <w:lang w:val="en-US"/>
        </w:rPr>
        <w:t>40</w:t>
      </w:r>
      <w:r w:rsidRPr="00C0219F">
        <w:rPr>
          <w:noProof/>
          <w:lang w:val="en-US"/>
        </w:rPr>
        <w:t>(6), 494–507. https://www.academia.edu/1230808/Self-efficacy_from_the_perspective_of_adolescents_with_LD_and_their_specialist_teachers</w:t>
      </w:r>
    </w:p>
    <w:p w14:paraId="150891F3"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Kurniawan, K. R., Kusumawardhani, R. A., Ellisa, E., Widyarta, M. N., &amp; Atmoko, T. U. (2013). Hybridity on architecture and urban spaces in the Colonial Tin Mining Town of Muntok-Bangka. </w:t>
      </w:r>
      <w:r w:rsidRPr="00C0219F">
        <w:rPr>
          <w:i/>
          <w:iCs/>
          <w:noProof/>
          <w:lang w:val="en-US"/>
        </w:rPr>
        <w:t>Makara Human Behavior Studies in Asia</w:t>
      </w:r>
      <w:r w:rsidRPr="00C0219F">
        <w:rPr>
          <w:noProof/>
          <w:lang w:val="en-US"/>
        </w:rPr>
        <w:t xml:space="preserve">, </w:t>
      </w:r>
      <w:r w:rsidRPr="00C0219F">
        <w:rPr>
          <w:i/>
          <w:iCs/>
          <w:noProof/>
          <w:lang w:val="en-US"/>
        </w:rPr>
        <w:t>17</w:t>
      </w:r>
      <w:r w:rsidRPr="00C0219F">
        <w:rPr>
          <w:noProof/>
          <w:lang w:val="en-US"/>
        </w:rPr>
        <w:t>(2), 75. https://doi.org/10.7454/mssh.v17i2.2953</w:t>
      </w:r>
    </w:p>
    <w:p w14:paraId="04D3D0C0"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Lehman, C. L. (2017). </w:t>
      </w:r>
      <w:r w:rsidRPr="00C0219F">
        <w:rPr>
          <w:i/>
          <w:iCs/>
          <w:noProof/>
          <w:lang w:val="en-US"/>
        </w:rPr>
        <w:t>Multicultural Competence : A Literature Review Supporting Focused Training for Preservice Teachers Teaching Diverse Students</w:t>
      </w:r>
      <w:r w:rsidRPr="00C0219F">
        <w:rPr>
          <w:noProof/>
          <w:lang w:val="en-US"/>
        </w:rPr>
        <w:t xml:space="preserve">. </w:t>
      </w:r>
      <w:r w:rsidRPr="00C0219F">
        <w:rPr>
          <w:i/>
          <w:iCs/>
          <w:noProof/>
          <w:lang w:val="en-US"/>
        </w:rPr>
        <w:t>8</w:t>
      </w:r>
      <w:r w:rsidRPr="00C0219F">
        <w:rPr>
          <w:noProof/>
          <w:lang w:val="en-US"/>
        </w:rPr>
        <w:t>(10), 109–116.</w:t>
      </w:r>
    </w:p>
    <w:p w14:paraId="4CFC1570"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Maddux, J. E. (2012). Self-Efficacy: The Power of Believing You Can. </w:t>
      </w:r>
      <w:r w:rsidRPr="00C0219F">
        <w:rPr>
          <w:i/>
          <w:iCs/>
          <w:noProof/>
          <w:lang w:val="en-US"/>
        </w:rPr>
        <w:t>The Oxford Handbook of Positive Psychology, (2 Ed.)</w:t>
      </w:r>
      <w:r w:rsidRPr="00C0219F">
        <w:rPr>
          <w:noProof/>
          <w:lang w:val="en-US"/>
        </w:rPr>
        <w:t>. https://doi.org/10.1093/oxfordhb/9780195187243.013.0031</w:t>
      </w:r>
    </w:p>
    <w:p w14:paraId="7DCF52A9"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Manning, M. L. E. E. (2016). Havighurst’s developmental tasks, young adolescents, and diversity. </w:t>
      </w:r>
      <w:r w:rsidRPr="00C0219F">
        <w:rPr>
          <w:i/>
          <w:iCs/>
          <w:noProof/>
          <w:lang w:val="en-US"/>
        </w:rPr>
        <w:t>The Clearing House</w:t>
      </w:r>
      <w:r w:rsidRPr="00C0219F">
        <w:rPr>
          <w:noProof/>
          <w:lang w:val="en-US"/>
        </w:rPr>
        <w:t xml:space="preserve">, </w:t>
      </w:r>
      <w:r w:rsidRPr="00C0219F">
        <w:rPr>
          <w:i/>
          <w:iCs/>
          <w:noProof/>
          <w:lang w:val="en-US"/>
        </w:rPr>
        <w:t>76</w:t>
      </w:r>
      <w:r w:rsidRPr="00C0219F">
        <w:rPr>
          <w:noProof/>
          <w:lang w:val="en-US"/>
        </w:rPr>
        <w:t>(2), 75–78. http://www.jstor.org/stable/30189796</w:t>
      </w:r>
    </w:p>
    <w:p w14:paraId="15A30998"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Matthews, J. J., Barden, S. M., &amp; Sherrell, R. S. (2018). Examining the Relationships Between Multicultural Counseling Competence, Multicultural Self-Efficacy, and Ethnic Identity Development of Practicing Counselors. </w:t>
      </w:r>
      <w:r w:rsidRPr="00C0219F">
        <w:rPr>
          <w:i/>
          <w:iCs/>
          <w:noProof/>
          <w:lang w:val="en-US"/>
        </w:rPr>
        <w:t>Journal of Mental Health Counseling</w:t>
      </w:r>
      <w:r w:rsidRPr="00C0219F">
        <w:rPr>
          <w:noProof/>
          <w:lang w:val="en-US"/>
        </w:rPr>
        <w:t xml:space="preserve">, </w:t>
      </w:r>
      <w:r w:rsidRPr="00C0219F">
        <w:rPr>
          <w:i/>
          <w:iCs/>
          <w:noProof/>
          <w:lang w:val="en-US"/>
        </w:rPr>
        <w:t>40</w:t>
      </w:r>
      <w:r w:rsidRPr="00C0219F">
        <w:rPr>
          <w:noProof/>
          <w:lang w:val="en-US"/>
        </w:rPr>
        <w:t>(2), 129–141. https://doi.org/10.17744/mehc.40.2.03</w:t>
      </w:r>
    </w:p>
    <w:p w14:paraId="2AB3CAC9"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Merlin, C. (2017). School Counselors and Multicultural Education: Applying the Five Dimensions Clare Merlin University of North Carolina, Charlotte. </w:t>
      </w:r>
      <w:r w:rsidRPr="00C0219F">
        <w:rPr>
          <w:i/>
          <w:iCs/>
          <w:noProof/>
          <w:lang w:val="en-US"/>
        </w:rPr>
        <w:t>Journal of School Counseling</w:t>
      </w:r>
      <w:r w:rsidRPr="00C0219F">
        <w:rPr>
          <w:noProof/>
          <w:lang w:val="en-US"/>
        </w:rPr>
        <w:t xml:space="preserve">, </w:t>
      </w:r>
      <w:r w:rsidRPr="00C0219F">
        <w:rPr>
          <w:i/>
          <w:iCs/>
          <w:noProof/>
          <w:lang w:val="en-US"/>
        </w:rPr>
        <w:t>15</w:t>
      </w:r>
      <w:r w:rsidRPr="00C0219F">
        <w:rPr>
          <w:noProof/>
          <w:lang w:val="en-US"/>
        </w:rPr>
        <w:t>(6), 31. https://files.eric.ed.gov/fulltext/EJ1144757.pdf</w:t>
      </w:r>
    </w:p>
    <w:p w14:paraId="4E774E32"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Mulya, T. W., Aditomo, A., &amp; Suryani, A. (2021). On being a religiously tolerant Muslim : </w:t>
      </w:r>
      <w:r w:rsidRPr="00C0219F">
        <w:rPr>
          <w:noProof/>
          <w:lang w:val="en-US"/>
        </w:rPr>
        <w:lastRenderedPageBreak/>
        <w:t xml:space="preserve">discursive contestations among pre-service teachers in contemporary Indonesia. </w:t>
      </w:r>
      <w:r w:rsidRPr="00C0219F">
        <w:rPr>
          <w:i/>
          <w:iCs/>
          <w:noProof/>
          <w:lang w:val="en-US"/>
        </w:rPr>
        <w:t>British Journal of Religious Education</w:t>
      </w:r>
      <w:r w:rsidRPr="00C0219F">
        <w:rPr>
          <w:noProof/>
          <w:lang w:val="en-US"/>
        </w:rPr>
        <w:t>. http://repository.ubaya.ac.id/39333/1/proof 99%25 - On being a religiously tolerant Muslim.pdf</w:t>
      </w:r>
    </w:p>
    <w:p w14:paraId="51FFB173"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Mulyana, D., &amp; Zubair, A. (2015). Intercultural Communication Competence Developed by Chinese in Communicating With Malays in Bangka Island, Indonesia </w:t>
      </w:r>
      <w:r w:rsidRPr="00C0219F">
        <w:rPr>
          <w:rFonts w:ascii="Cambria Math" w:hAnsi="Cambria Math" w:cs="Cambria Math"/>
          <w:noProof/>
          <w:lang w:val="en-US"/>
        </w:rPr>
        <w:t>∗</w:t>
      </w:r>
      <w:r w:rsidRPr="00C0219F">
        <w:rPr>
          <w:noProof/>
          <w:lang w:val="en-US"/>
        </w:rPr>
        <w:t xml:space="preserve">. </w:t>
      </w:r>
      <w:r w:rsidRPr="00C0219F">
        <w:rPr>
          <w:i/>
          <w:iCs/>
          <w:noProof/>
          <w:lang w:val="en-US"/>
        </w:rPr>
        <w:t>Sino-US English Teaching</w:t>
      </w:r>
      <w:r w:rsidRPr="00C0219F">
        <w:rPr>
          <w:noProof/>
          <w:lang w:val="en-US"/>
        </w:rPr>
        <w:t xml:space="preserve">, </w:t>
      </w:r>
      <w:r w:rsidRPr="00C0219F">
        <w:rPr>
          <w:i/>
          <w:iCs/>
          <w:noProof/>
          <w:lang w:val="en-US"/>
        </w:rPr>
        <w:t>12</w:t>
      </w:r>
      <w:r w:rsidRPr="00C0219F">
        <w:rPr>
          <w:noProof/>
          <w:lang w:val="en-US"/>
        </w:rPr>
        <w:t>(4), 299–309. https://doi.org/10.17265/1539-8072/2015.04.009</w:t>
      </w:r>
    </w:p>
    <w:p w14:paraId="59476816"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Myrick, R. D. (2011). </w:t>
      </w:r>
      <w:r w:rsidRPr="00C0219F">
        <w:rPr>
          <w:i/>
          <w:iCs/>
          <w:noProof/>
          <w:lang w:val="en-US"/>
        </w:rPr>
        <w:t>Developmental guidance and counseling: A practical approach</w:t>
      </w:r>
      <w:r w:rsidRPr="00C0219F">
        <w:rPr>
          <w:noProof/>
          <w:lang w:val="en-US"/>
        </w:rPr>
        <w:t xml:space="preserve"> (5th ed.). Educational Media Corporation.</w:t>
      </w:r>
    </w:p>
    <w:p w14:paraId="2370EFA2"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Nakaya, A. (2018). Overcoming ethnic conflict through multicultural education: The case of West Kalimantan, Indonesia. </w:t>
      </w:r>
      <w:r w:rsidRPr="00C0219F">
        <w:rPr>
          <w:i/>
          <w:iCs/>
          <w:noProof/>
          <w:lang w:val="en-US"/>
        </w:rPr>
        <w:t>International Journal of Multicultural Education</w:t>
      </w:r>
      <w:r w:rsidRPr="00C0219F">
        <w:rPr>
          <w:noProof/>
          <w:lang w:val="en-US"/>
        </w:rPr>
        <w:t xml:space="preserve">, </w:t>
      </w:r>
      <w:r w:rsidRPr="00C0219F">
        <w:rPr>
          <w:i/>
          <w:iCs/>
          <w:noProof/>
          <w:lang w:val="en-US"/>
        </w:rPr>
        <w:t>20</w:t>
      </w:r>
      <w:r w:rsidRPr="00C0219F">
        <w:rPr>
          <w:noProof/>
          <w:lang w:val="en-US"/>
        </w:rPr>
        <w:t>(1), 118–137. https://www.researchgate.net/publication/316556898_Indonesian_Students%27_Multicultural_Awareness_in_Homogeneously_and_Heterogeneously_Populated_Schools_and_Multicultural_Education_Policy</w:t>
      </w:r>
    </w:p>
    <w:p w14:paraId="3EA5D2F3"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Nasir, M. (2020). Curriculum characteristics of madrasah aliyah in East Kalimantan. </w:t>
      </w:r>
      <w:r w:rsidRPr="00C0219F">
        <w:rPr>
          <w:i/>
          <w:iCs/>
          <w:noProof/>
          <w:lang w:val="en-US"/>
        </w:rPr>
        <w:t>Dinamika Ilmu</w:t>
      </w:r>
      <w:r w:rsidRPr="00C0219F">
        <w:rPr>
          <w:noProof/>
          <w:lang w:val="en-US"/>
        </w:rPr>
        <w:t xml:space="preserve">, </w:t>
      </w:r>
      <w:r w:rsidRPr="00C0219F">
        <w:rPr>
          <w:i/>
          <w:iCs/>
          <w:noProof/>
          <w:lang w:val="en-US"/>
        </w:rPr>
        <w:t>20</w:t>
      </w:r>
      <w:r w:rsidRPr="00C0219F">
        <w:rPr>
          <w:noProof/>
          <w:lang w:val="en-US"/>
        </w:rPr>
        <w:t>(1), 95–105. https://doi.org/10.21093/di.v20i1.2215</w:t>
      </w:r>
    </w:p>
    <w:p w14:paraId="7A9A777C"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OECD. (2018). The Future of education and skills: education 2030. In </w:t>
      </w:r>
      <w:r w:rsidRPr="00C0219F">
        <w:rPr>
          <w:i/>
          <w:iCs/>
          <w:noProof/>
          <w:lang w:val="en-US"/>
        </w:rPr>
        <w:t>OECD Education Working Papers</w:t>
      </w:r>
      <w:r w:rsidRPr="00C0219F">
        <w:rPr>
          <w:noProof/>
          <w:lang w:val="en-US"/>
        </w:rPr>
        <w:t>. http://www.oecd.org/education/2030/E2030 Position Paper (05.04.2018).pdf</w:t>
      </w:r>
    </w:p>
    <w:p w14:paraId="12E6CDA1"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Oettingen, G. (1995). Cross-cultural Perspective on Self-Efficacy. In A. Bandura (Ed.), </w:t>
      </w:r>
      <w:r w:rsidRPr="00C0219F">
        <w:rPr>
          <w:i/>
          <w:iCs/>
          <w:noProof/>
          <w:lang w:val="en-US"/>
        </w:rPr>
        <w:t>Self-efficacy in Changing Societies</w:t>
      </w:r>
      <w:r w:rsidRPr="00C0219F">
        <w:rPr>
          <w:noProof/>
          <w:lang w:val="en-US"/>
        </w:rPr>
        <w:t xml:space="preserve"> (p. 351). Cambridge University Press.</w:t>
      </w:r>
    </w:p>
    <w:p w14:paraId="3B6B5D73"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Permana, M. (2022, January 31). Guru SMA di Jember berkata rasis ke siswa. </w:t>
      </w:r>
      <w:r w:rsidRPr="00C0219F">
        <w:rPr>
          <w:i/>
          <w:iCs/>
          <w:noProof/>
          <w:lang w:val="en-US"/>
        </w:rPr>
        <w:t>Merdeka.Com</w:t>
      </w:r>
      <w:r w:rsidRPr="00C0219F">
        <w:rPr>
          <w:noProof/>
          <w:lang w:val="en-US"/>
        </w:rPr>
        <w:t>, 19. https://www.merdeka.com/peristiwa/guru-sma-di-jember-berkata-rasis-ke-siswa-gubernur-jatim-beri-sanksi-tak-mengajar.html</w:t>
      </w:r>
    </w:p>
    <w:p w14:paraId="20ECD4F4"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Prabowo, A. D. A., &amp; Ilyas, H. (2021). Multicultural Education in Islamic Perspective. </w:t>
      </w:r>
      <w:r w:rsidRPr="00C0219F">
        <w:rPr>
          <w:i/>
          <w:iCs/>
          <w:noProof/>
          <w:lang w:val="en-US"/>
        </w:rPr>
        <w:t>Proceedings of the International Conference on Economics, Business, Social, and Humanities (ICEBSH 2021)</w:t>
      </w:r>
      <w:r w:rsidRPr="00C0219F">
        <w:rPr>
          <w:noProof/>
          <w:lang w:val="en-US"/>
        </w:rPr>
        <w:t xml:space="preserve">, </w:t>
      </w:r>
      <w:r w:rsidRPr="00C0219F">
        <w:rPr>
          <w:i/>
          <w:iCs/>
          <w:noProof/>
          <w:lang w:val="en-US"/>
        </w:rPr>
        <w:t>570</w:t>
      </w:r>
      <w:r w:rsidRPr="00C0219F">
        <w:rPr>
          <w:noProof/>
          <w:lang w:val="en-US"/>
        </w:rPr>
        <w:t>(Icebsh), 371–376. https://doi.org/10.2991/assehr.k.210805.060</w:t>
      </w:r>
    </w:p>
    <w:p w14:paraId="38B255C1"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Priatna, T., Muntaha, P. Z., &amp; Nurhamzah. (2019). Vision of Multicultural Islamic Education Paradigm in Indonesia. </w:t>
      </w:r>
      <w:r w:rsidRPr="00C0219F">
        <w:rPr>
          <w:i/>
          <w:iCs/>
          <w:noProof/>
          <w:lang w:val="en-US"/>
        </w:rPr>
        <w:t>American Journal of Humanities and Social Sciences Research (AJHSSR)</w:t>
      </w:r>
      <w:r w:rsidRPr="00C0219F">
        <w:rPr>
          <w:noProof/>
          <w:lang w:val="en-US"/>
        </w:rPr>
        <w:t xml:space="preserve">, </w:t>
      </w:r>
      <w:r w:rsidRPr="00C0219F">
        <w:rPr>
          <w:i/>
          <w:iCs/>
          <w:noProof/>
          <w:lang w:val="en-US"/>
        </w:rPr>
        <w:t>3</w:t>
      </w:r>
      <w:r w:rsidRPr="00C0219F">
        <w:rPr>
          <w:noProof/>
          <w:lang w:val="en-US"/>
        </w:rPr>
        <w:t>(11), 118–124. https://www.academia.edu/41002620/Vision_of_Multicultural_Islamic_Education_Paradigm_in_Indonesia</w:t>
      </w:r>
    </w:p>
    <w:p w14:paraId="2C90A109"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Rahman, A. (2022, January 21). </w:t>
      </w:r>
      <w:r w:rsidRPr="00C0219F">
        <w:rPr>
          <w:i/>
          <w:iCs/>
          <w:noProof/>
          <w:lang w:val="en-US"/>
        </w:rPr>
        <w:t>Polemik Arteria Soal Bahasa Sunda , DPR Sebut Konstitusi Melindungi Bahasa Daerah</w:t>
      </w:r>
      <w:r w:rsidRPr="00C0219F">
        <w:rPr>
          <w:noProof/>
          <w:lang w:val="en-US"/>
        </w:rPr>
        <w:t>. https://nasional.tempo.co/read/1552302/polemik-arteria-soal-bahasa-sunda-dpr-sebut-konstitusi-melindungi-bahasa-daerah</w:t>
      </w:r>
    </w:p>
    <w:p w14:paraId="437E9A88"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Raihani, R. (2018). Education for multicultural citizens in Indonesia: policies and practices. </w:t>
      </w:r>
      <w:r w:rsidRPr="00C0219F">
        <w:rPr>
          <w:i/>
          <w:iCs/>
          <w:noProof/>
          <w:lang w:val="en-US"/>
        </w:rPr>
        <w:t>Compare</w:t>
      </w:r>
      <w:r w:rsidRPr="00C0219F">
        <w:rPr>
          <w:noProof/>
          <w:lang w:val="en-US"/>
        </w:rPr>
        <w:t xml:space="preserve">, </w:t>
      </w:r>
      <w:r w:rsidRPr="00C0219F">
        <w:rPr>
          <w:i/>
          <w:iCs/>
          <w:noProof/>
          <w:lang w:val="en-US"/>
        </w:rPr>
        <w:t>48</w:t>
      </w:r>
      <w:r w:rsidRPr="00C0219F">
        <w:rPr>
          <w:noProof/>
          <w:lang w:val="en-US"/>
        </w:rPr>
        <w:t>(6), 992–1009. https://doi.org/10.1080/03057925.2017.1399250</w:t>
      </w:r>
    </w:p>
    <w:p w14:paraId="6AFB1916"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Reitz, J. G., Raymond, B., Dion, D. K. K., &amp; Dion, K. L. (2009). </w:t>
      </w:r>
      <w:r w:rsidRPr="00C0219F">
        <w:rPr>
          <w:i/>
          <w:iCs/>
          <w:noProof/>
          <w:lang w:val="en-US"/>
        </w:rPr>
        <w:t>The Oxford handbook of multicultural identity</w:t>
      </w:r>
      <w:r w:rsidRPr="00C0219F">
        <w:rPr>
          <w:noProof/>
          <w:lang w:val="en-US"/>
        </w:rPr>
        <w:t>. Springer.</w:t>
      </w:r>
    </w:p>
    <w:p w14:paraId="3DFE5E59"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Rifa’i, A. A. (2019). Religious and tolerant attitudes of university students: A comparative study. </w:t>
      </w:r>
      <w:r w:rsidRPr="00C0219F">
        <w:rPr>
          <w:i/>
          <w:iCs/>
          <w:noProof/>
          <w:lang w:val="en-US"/>
        </w:rPr>
        <w:t>Walisongo: Jurnal Penelitian Sosial Keagamaan</w:t>
      </w:r>
      <w:r w:rsidRPr="00C0219F">
        <w:rPr>
          <w:noProof/>
          <w:lang w:val="en-US"/>
        </w:rPr>
        <w:t xml:space="preserve">, </w:t>
      </w:r>
      <w:r w:rsidRPr="00C0219F">
        <w:rPr>
          <w:i/>
          <w:iCs/>
          <w:noProof/>
          <w:lang w:val="en-US"/>
        </w:rPr>
        <w:t>27</w:t>
      </w:r>
      <w:r w:rsidRPr="00C0219F">
        <w:rPr>
          <w:noProof/>
          <w:lang w:val="en-US"/>
        </w:rPr>
        <w:t>(1), 125–148. https://doi.org/10.21580/ws.27.1.3872</w:t>
      </w:r>
    </w:p>
    <w:p w14:paraId="627651D3"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Rosyad, A. M. (2020). the Integration of Islamic Education and Multicultural Education in Indonesia. </w:t>
      </w:r>
      <w:r w:rsidRPr="00C0219F">
        <w:rPr>
          <w:i/>
          <w:iCs/>
          <w:noProof/>
          <w:lang w:val="en-US"/>
        </w:rPr>
        <w:t>Al-Afkar, Journal For Islamic Studies</w:t>
      </w:r>
      <w:r w:rsidRPr="00C0219F">
        <w:rPr>
          <w:noProof/>
          <w:lang w:val="en-US"/>
        </w:rPr>
        <w:t xml:space="preserve">, </w:t>
      </w:r>
      <w:r w:rsidRPr="00C0219F">
        <w:rPr>
          <w:i/>
          <w:iCs/>
          <w:noProof/>
          <w:lang w:val="en-US"/>
        </w:rPr>
        <w:t>3</w:t>
      </w:r>
      <w:r w:rsidRPr="00C0219F">
        <w:rPr>
          <w:noProof/>
          <w:lang w:val="en-US"/>
        </w:rPr>
        <w:t>(1), 164–181. https://al-afkar.com/index.php/Afkar_Journal/article/view/87</w:t>
      </w:r>
    </w:p>
    <w:p w14:paraId="702DEF28"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Schmidt, J. . (2008). </w:t>
      </w:r>
      <w:r w:rsidRPr="00C0219F">
        <w:rPr>
          <w:i/>
          <w:iCs/>
          <w:noProof/>
          <w:lang w:val="en-US"/>
        </w:rPr>
        <w:t xml:space="preserve">Counseling in schools: Comprehensive programs of responsive services </w:t>
      </w:r>
      <w:r w:rsidRPr="00C0219F">
        <w:rPr>
          <w:i/>
          <w:iCs/>
          <w:noProof/>
          <w:lang w:val="en-US"/>
        </w:rPr>
        <w:lastRenderedPageBreak/>
        <w:t>for all students</w:t>
      </w:r>
      <w:r w:rsidRPr="00C0219F">
        <w:rPr>
          <w:noProof/>
          <w:lang w:val="en-US"/>
        </w:rPr>
        <w:t xml:space="preserve"> (5th ed.). Pearson.</w:t>
      </w:r>
    </w:p>
    <w:p w14:paraId="2D3CB3C4"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Seo, J. Y. (2022). College Students’ Preferences on Principles for the Effective Instructional Video Design for Online General English Classes in Korea. </w:t>
      </w:r>
      <w:r w:rsidRPr="00C0219F">
        <w:rPr>
          <w:i/>
          <w:iCs/>
          <w:noProof/>
          <w:lang w:val="en-US"/>
        </w:rPr>
        <w:t>Electronic Journal of E-Learning</w:t>
      </w:r>
      <w:r w:rsidRPr="00C0219F">
        <w:rPr>
          <w:noProof/>
          <w:lang w:val="en-US"/>
        </w:rPr>
        <w:t xml:space="preserve">, </w:t>
      </w:r>
      <w:r w:rsidRPr="00C0219F">
        <w:rPr>
          <w:i/>
          <w:iCs/>
          <w:noProof/>
          <w:lang w:val="en-US"/>
        </w:rPr>
        <w:t>20</w:t>
      </w:r>
      <w:r w:rsidRPr="00C0219F">
        <w:rPr>
          <w:noProof/>
          <w:lang w:val="en-US"/>
        </w:rPr>
        <w:t>(3), 313–324. https://doi.org/10.34190/ejel.20.3.2336</w:t>
      </w:r>
    </w:p>
    <w:p w14:paraId="0CC91EC7"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Septian, M. R., &amp; Budiman, A. (2021). Tolerance in Madrasah Students Based on Religious Organization Affiliates. </w:t>
      </w:r>
      <w:r w:rsidRPr="00C0219F">
        <w:rPr>
          <w:i/>
          <w:iCs/>
          <w:noProof/>
          <w:lang w:val="en-US"/>
        </w:rPr>
        <w:t>JOMSIGN: Journal of Multicultural Studies in Guidance and Counseling</w:t>
      </w:r>
      <w:r w:rsidRPr="00C0219F">
        <w:rPr>
          <w:noProof/>
          <w:lang w:val="en-US"/>
        </w:rPr>
        <w:t xml:space="preserve">, </w:t>
      </w:r>
      <w:r w:rsidRPr="00C0219F">
        <w:rPr>
          <w:i/>
          <w:iCs/>
          <w:noProof/>
          <w:lang w:val="en-US"/>
        </w:rPr>
        <w:t>5</w:t>
      </w:r>
      <w:r w:rsidRPr="00C0219F">
        <w:rPr>
          <w:noProof/>
          <w:lang w:val="en-US"/>
        </w:rPr>
        <w:t>(2), 43–61. https://doi.org/10.17509/jomsign.v5i2.35063</w:t>
      </w:r>
    </w:p>
    <w:p w14:paraId="1AAE7117"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Sumaktoyo, N. (2018). </w:t>
      </w:r>
      <w:r w:rsidRPr="00C0219F">
        <w:rPr>
          <w:i/>
          <w:iCs/>
          <w:noProof/>
          <w:lang w:val="en-US"/>
        </w:rPr>
        <w:t>Measuring religious intolerance across Indonesian provinces</w:t>
      </w:r>
      <w:r w:rsidRPr="00C0219F">
        <w:rPr>
          <w:noProof/>
          <w:lang w:val="en-US"/>
        </w:rPr>
        <w:t>. New Mandala, Australian National University. https://www.newmandala.org/measuring-religious-intolerance-across-indonesian-provinces/</w:t>
      </w:r>
    </w:p>
    <w:p w14:paraId="31354D0F"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Supa’at. (2016). The existence and challenge of madrasah. </w:t>
      </w:r>
      <w:r w:rsidRPr="00C0219F">
        <w:rPr>
          <w:i/>
          <w:iCs/>
          <w:noProof/>
          <w:lang w:val="en-US"/>
        </w:rPr>
        <w:t>International Seminar on Education “Education Trends for Future Society"</w:t>
      </w:r>
      <w:r w:rsidRPr="00C0219F">
        <w:rPr>
          <w:noProof/>
          <w:lang w:val="en-US"/>
        </w:rPr>
        <w:t xml:space="preserve">, </w:t>
      </w:r>
      <w:r w:rsidRPr="00C0219F">
        <w:rPr>
          <w:i/>
          <w:iCs/>
          <w:noProof/>
          <w:lang w:val="en-US"/>
        </w:rPr>
        <w:t>0489</w:t>
      </w:r>
      <w:r w:rsidRPr="00C0219F">
        <w:rPr>
          <w:noProof/>
          <w:lang w:val="en-US"/>
        </w:rPr>
        <w:t>, 13–22.</w:t>
      </w:r>
    </w:p>
    <w:p w14:paraId="64D9F9C9"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Suparta, S. (2020). Strategi Pendidikan Toleransi Beragama dan Implikasinya terhadap Keutuhan NKRI di Bangka Belitung. </w:t>
      </w:r>
      <w:r w:rsidRPr="00C0219F">
        <w:rPr>
          <w:i/>
          <w:iCs/>
          <w:noProof/>
          <w:lang w:val="en-US"/>
        </w:rPr>
        <w:t>Edugama: Jurnal Kependidikan Dan Sosial Keagamaan</w:t>
      </w:r>
      <w:r w:rsidRPr="00C0219F">
        <w:rPr>
          <w:noProof/>
          <w:lang w:val="en-US"/>
        </w:rPr>
        <w:t xml:space="preserve">, </w:t>
      </w:r>
      <w:r w:rsidRPr="00C0219F">
        <w:rPr>
          <w:i/>
          <w:iCs/>
          <w:noProof/>
          <w:lang w:val="en-US"/>
        </w:rPr>
        <w:t>6</w:t>
      </w:r>
      <w:r w:rsidRPr="00C0219F">
        <w:rPr>
          <w:noProof/>
          <w:lang w:val="en-US"/>
        </w:rPr>
        <w:t>(1), 93–110. https://doi.org/10.32923/edugama.v6i1.1749</w:t>
      </w:r>
    </w:p>
    <w:p w14:paraId="19507CD9"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Tyler, R. W. (1957). The Curriculum-Then And Now. </w:t>
      </w:r>
      <w:r w:rsidRPr="00C0219F">
        <w:rPr>
          <w:i/>
          <w:iCs/>
          <w:noProof/>
          <w:lang w:val="en-US"/>
        </w:rPr>
        <w:t>The Elementary School Journal</w:t>
      </w:r>
      <w:r w:rsidRPr="00C0219F">
        <w:rPr>
          <w:noProof/>
          <w:lang w:val="en-US"/>
        </w:rPr>
        <w:t xml:space="preserve">, </w:t>
      </w:r>
      <w:r w:rsidRPr="00C0219F">
        <w:rPr>
          <w:i/>
          <w:iCs/>
          <w:noProof/>
          <w:lang w:val="en-US"/>
        </w:rPr>
        <w:t>57</w:t>
      </w:r>
      <w:r w:rsidRPr="00C0219F">
        <w:rPr>
          <w:noProof/>
          <w:lang w:val="en-US"/>
        </w:rPr>
        <w:t>(7), 364–374. https://doi.org/https://doi.org/10.1086/459567 Views: 35</w:t>
      </w:r>
    </w:p>
    <w:p w14:paraId="3FD248BB"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Varol, B., &amp; Yilmaz, S. (2010). </w:t>
      </w:r>
      <w:r w:rsidRPr="00C0219F">
        <w:rPr>
          <w:i/>
          <w:iCs/>
          <w:noProof/>
          <w:lang w:val="en-US"/>
        </w:rPr>
        <w:t>Similarities and differences between female and male learners: Inside and outside class autonomous language learning activities</w:t>
      </w:r>
      <w:r w:rsidRPr="00C0219F">
        <w:rPr>
          <w:noProof/>
          <w:lang w:val="en-US"/>
        </w:rPr>
        <w:t xml:space="preserve">. </w:t>
      </w:r>
      <w:r w:rsidRPr="00C0219F">
        <w:rPr>
          <w:i/>
          <w:iCs/>
          <w:noProof/>
          <w:lang w:val="en-US"/>
        </w:rPr>
        <w:t>3</w:t>
      </w:r>
      <w:r w:rsidRPr="00C0219F">
        <w:rPr>
          <w:noProof/>
          <w:lang w:val="en-US"/>
        </w:rPr>
        <w:t>(1), 237–244. https://doi.org/10.1016/j.sbspro.2010.07.038</w:t>
      </w:r>
    </w:p>
    <w:p w14:paraId="013CF4BF"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Wang, Y., Dai, Y., Li, H., &amp; Song, L. (2021). Social media and attitude change: Information booming promote or resist persuasion? </w:t>
      </w:r>
      <w:r w:rsidRPr="00C0219F">
        <w:rPr>
          <w:i/>
          <w:iCs/>
          <w:noProof/>
          <w:lang w:val="en-US"/>
        </w:rPr>
        <w:t>Frontiers in Psychology</w:t>
      </w:r>
      <w:r w:rsidRPr="00C0219F">
        <w:rPr>
          <w:noProof/>
          <w:lang w:val="en-US"/>
        </w:rPr>
        <w:t xml:space="preserve">, </w:t>
      </w:r>
      <w:r w:rsidRPr="00C0219F">
        <w:rPr>
          <w:i/>
          <w:iCs/>
          <w:noProof/>
          <w:lang w:val="en-US"/>
        </w:rPr>
        <w:t>12</w:t>
      </w:r>
      <w:r w:rsidRPr="00C0219F">
        <w:rPr>
          <w:noProof/>
          <w:lang w:val="en-US"/>
        </w:rPr>
        <w:t>(June), 1–9. https://doi.org/10.3389/fpsyg.2021.596071</w:t>
      </w:r>
    </w:p>
    <w:p w14:paraId="1A85E974"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Wati, M. S., &amp; Buduroh, M. (2021). Pola Integrasi antara Jawa dan Melayu-Bangka Belitung dalam Naskah Hikayat Raja Berekor. </w:t>
      </w:r>
      <w:r w:rsidRPr="00C0219F">
        <w:rPr>
          <w:i/>
          <w:iCs/>
          <w:noProof/>
          <w:lang w:val="en-US"/>
        </w:rPr>
        <w:t>Jumantara: Jurnal Manuskrip Nusantara</w:t>
      </w:r>
      <w:r w:rsidRPr="00C0219F">
        <w:rPr>
          <w:noProof/>
          <w:lang w:val="en-US"/>
        </w:rPr>
        <w:t xml:space="preserve">, </w:t>
      </w:r>
      <w:r w:rsidRPr="00C0219F">
        <w:rPr>
          <w:i/>
          <w:iCs/>
          <w:noProof/>
          <w:lang w:val="en-US"/>
        </w:rPr>
        <w:t>12</w:t>
      </w:r>
      <w:r w:rsidRPr="00C0219F">
        <w:rPr>
          <w:noProof/>
          <w:lang w:val="en-US"/>
        </w:rPr>
        <w:t>(1), 53–68. https://doi.org/10.37014/jumantara.v12i1.1124</w:t>
      </w:r>
    </w:p>
    <w:p w14:paraId="1E59C51C"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Wehrwein, E. A., Lujan, H. L., &amp; DiCarlo, S. E. (2007). Gender differences in learning style preferences among undergraduate physiology students. </w:t>
      </w:r>
      <w:r w:rsidRPr="00C0219F">
        <w:rPr>
          <w:i/>
          <w:iCs/>
          <w:noProof/>
          <w:lang w:val="en-US"/>
        </w:rPr>
        <w:t>American Journal of Physiology - Advances in Physiology Education</w:t>
      </w:r>
      <w:r w:rsidRPr="00C0219F">
        <w:rPr>
          <w:noProof/>
          <w:lang w:val="en-US"/>
        </w:rPr>
        <w:t xml:space="preserve">, </w:t>
      </w:r>
      <w:r w:rsidRPr="00C0219F">
        <w:rPr>
          <w:i/>
          <w:iCs/>
          <w:noProof/>
          <w:lang w:val="en-US"/>
        </w:rPr>
        <w:t>31</w:t>
      </w:r>
      <w:r w:rsidRPr="00C0219F">
        <w:rPr>
          <w:noProof/>
          <w:lang w:val="en-US"/>
        </w:rPr>
        <w:t>(2), 153–157. https://doi.org/10.1152/advan.00060.2006</w:t>
      </w:r>
    </w:p>
    <w:p w14:paraId="74EB8A77"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Wibowo, A. M. (2018). Multikulturalisme Peserta Didik Muslim di Yogyakarta. </w:t>
      </w:r>
      <w:r w:rsidRPr="00C0219F">
        <w:rPr>
          <w:i/>
          <w:iCs/>
          <w:noProof/>
          <w:lang w:val="en-US"/>
        </w:rPr>
        <w:t>Edukasi: Jurnal Penelitian Pendidikan Agama Dan Keagamaan</w:t>
      </w:r>
      <w:r w:rsidRPr="00C0219F">
        <w:rPr>
          <w:noProof/>
          <w:lang w:val="en-US"/>
        </w:rPr>
        <w:t xml:space="preserve">, </w:t>
      </w:r>
      <w:r w:rsidRPr="00C0219F">
        <w:rPr>
          <w:i/>
          <w:iCs/>
          <w:noProof/>
          <w:lang w:val="en-US"/>
        </w:rPr>
        <w:t>16</w:t>
      </w:r>
      <w:r w:rsidRPr="00C0219F">
        <w:rPr>
          <w:noProof/>
          <w:lang w:val="en-US"/>
        </w:rPr>
        <w:t>(1), 2018. http://jurnaledukasikemenag.org</w:t>
      </w:r>
    </w:p>
    <w:p w14:paraId="0B2BDDC6"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Yılmaz, F. (2016). Multiculturalism and Multicultural Education : A Case Study of Teacher Candidates ’ Perceptions Multiculturalism and Multicultural Education : A Case study of Teacher Candidates’ Perceptions. </w:t>
      </w:r>
      <w:r w:rsidRPr="00C0219F">
        <w:rPr>
          <w:i/>
          <w:iCs/>
          <w:noProof/>
          <w:lang w:val="en-US"/>
        </w:rPr>
        <w:t>Cogent Education</w:t>
      </w:r>
      <w:r w:rsidRPr="00C0219F">
        <w:rPr>
          <w:noProof/>
          <w:lang w:val="en-US"/>
        </w:rPr>
        <w:t xml:space="preserve">, </w:t>
      </w:r>
      <w:r w:rsidRPr="00C0219F">
        <w:rPr>
          <w:i/>
          <w:iCs/>
          <w:noProof/>
          <w:lang w:val="en-US"/>
        </w:rPr>
        <w:t>9</w:t>
      </w:r>
      <w:r w:rsidRPr="00C0219F">
        <w:rPr>
          <w:noProof/>
          <w:lang w:val="en-US"/>
        </w:rPr>
        <w:t>(1). https://doi.org/10.1080/2331186X.2016.1172394</w:t>
      </w:r>
    </w:p>
    <w:p w14:paraId="2CE7AB67"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Yong, E. L. (2019). Understanding cultural diversity and economic prosperity in Europe: a literature review and proposal of a culture–economy framework. </w:t>
      </w:r>
      <w:r w:rsidRPr="00C0219F">
        <w:rPr>
          <w:i/>
          <w:iCs/>
          <w:noProof/>
          <w:lang w:val="en-US"/>
        </w:rPr>
        <w:t>Asian Journal of German and European Studies</w:t>
      </w:r>
      <w:r w:rsidRPr="00C0219F">
        <w:rPr>
          <w:noProof/>
          <w:lang w:val="en-US"/>
        </w:rPr>
        <w:t xml:space="preserve">, </w:t>
      </w:r>
      <w:r w:rsidRPr="00C0219F">
        <w:rPr>
          <w:i/>
          <w:iCs/>
          <w:noProof/>
          <w:lang w:val="en-US"/>
        </w:rPr>
        <w:t>4</w:t>
      </w:r>
      <w:r w:rsidRPr="00C0219F">
        <w:rPr>
          <w:noProof/>
          <w:lang w:val="en-US"/>
        </w:rPr>
        <w:t>(1). https://doi.org/10.1186/s40856-019-0043-3</w:t>
      </w:r>
    </w:p>
    <w:p w14:paraId="4EA76A48" w14:textId="77777777" w:rsidR="004B334D" w:rsidRPr="00C0219F" w:rsidRDefault="004B334D" w:rsidP="004B334D">
      <w:pPr>
        <w:widowControl w:val="0"/>
        <w:autoSpaceDE w:val="0"/>
        <w:autoSpaceDN w:val="0"/>
        <w:adjustRightInd w:val="0"/>
        <w:ind w:left="480" w:hanging="480"/>
        <w:rPr>
          <w:noProof/>
          <w:lang w:val="en-US"/>
        </w:rPr>
      </w:pPr>
      <w:r w:rsidRPr="00C0219F">
        <w:rPr>
          <w:noProof/>
          <w:lang w:val="en-US"/>
        </w:rPr>
        <w:t xml:space="preserve">Yosef, Harlina, Rahmi, &amp; Muslifar, R. (2021). </w:t>
      </w:r>
      <w:r w:rsidRPr="00C0219F">
        <w:rPr>
          <w:i/>
          <w:iCs/>
          <w:noProof/>
          <w:lang w:val="en-US"/>
        </w:rPr>
        <w:t>Skala efikasi diri multikultur siswa SMA: Instrumen pengukuran untuk guru bimbingan dan konseling</w:t>
      </w:r>
      <w:r w:rsidRPr="00C0219F">
        <w:rPr>
          <w:noProof/>
          <w:lang w:val="en-US"/>
        </w:rPr>
        <w:t>. Bening Media Publishing.</w:t>
      </w:r>
    </w:p>
    <w:p w14:paraId="07A51A29" w14:textId="77777777" w:rsidR="004B334D" w:rsidRPr="00C0219F" w:rsidRDefault="004B334D" w:rsidP="004B334D">
      <w:pPr>
        <w:widowControl w:val="0"/>
        <w:autoSpaceDE w:val="0"/>
        <w:autoSpaceDN w:val="0"/>
        <w:adjustRightInd w:val="0"/>
        <w:ind w:left="480" w:hanging="480"/>
        <w:rPr>
          <w:noProof/>
        </w:rPr>
      </w:pPr>
      <w:r w:rsidRPr="00C0219F">
        <w:rPr>
          <w:noProof/>
          <w:lang w:val="en-US"/>
        </w:rPr>
        <w:t xml:space="preserve">Zarbaliyev, H. (2017). Multiculturalism in Globalization Era: History and Challenge for Indonesia. </w:t>
      </w:r>
      <w:r w:rsidRPr="00C0219F">
        <w:rPr>
          <w:i/>
          <w:iCs/>
          <w:noProof/>
          <w:lang w:val="en-US"/>
        </w:rPr>
        <w:t>Journal of Social Studies (JSS)</w:t>
      </w:r>
      <w:r w:rsidRPr="00C0219F">
        <w:rPr>
          <w:noProof/>
          <w:lang w:val="en-US"/>
        </w:rPr>
        <w:t xml:space="preserve">, </w:t>
      </w:r>
      <w:r w:rsidRPr="00C0219F">
        <w:rPr>
          <w:i/>
          <w:iCs/>
          <w:noProof/>
          <w:lang w:val="en-US"/>
        </w:rPr>
        <w:t>13</w:t>
      </w:r>
      <w:r w:rsidRPr="00C0219F">
        <w:rPr>
          <w:noProof/>
          <w:lang w:val="en-US"/>
        </w:rPr>
        <w:t>(1), 1–16. https://doi.org/10.21831/JSS.V13I1.16966.G9971</w:t>
      </w:r>
    </w:p>
    <w:p w14:paraId="63E94DBD" w14:textId="77777777" w:rsidR="004B334D" w:rsidRPr="00C51CE2" w:rsidRDefault="004B334D" w:rsidP="004B334D">
      <w:pPr>
        <w:widowControl w:val="0"/>
        <w:autoSpaceDE w:val="0"/>
        <w:autoSpaceDN w:val="0"/>
        <w:adjustRightInd w:val="0"/>
        <w:ind w:left="480" w:hanging="480"/>
        <w:rPr>
          <w:color w:val="000000" w:themeColor="text1"/>
        </w:rPr>
      </w:pPr>
      <w:r w:rsidRPr="00C51CE2">
        <w:rPr>
          <w:b/>
          <w:color w:val="000000" w:themeColor="text1"/>
        </w:rPr>
        <w:fldChar w:fldCharType="end"/>
      </w:r>
    </w:p>
    <w:p w14:paraId="08584A5E" w14:textId="77777777" w:rsidR="004B334D" w:rsidRPr="00C51CE2" w:rsidRDefault="004B334D" w:rsidP="004B334D">
      <w:pPr>
        <w:widowControl w:val="0"/>
        <w:autoSpaceDE w:val="0"/>
        <w:autoSpaceDN w:val="0"/>
        <w:adjustRightInd w:val="0"/>
        <w:ind w:left="480" w:hanging="480"/>
        <w:rPr>
          <w:color w:val="000000" w:themeColor="text1"/>
        </w:rPr>
      </w:pPr>
    </w:p>
    <w:p w14:paraId="3E29B18B" w14:textId="77777777" w:rsidR="004B334D" w:rsidRPr="00C51CE2" w:rsidRDefault="004B334D" w:rsidP="004B334D">
      <w:pPr>
        <w:widowControl w:val="0"/>
        <w:autoSpaceDE w:val="0"/>
        <w:autoSpaceDN w:val="0"/>
        <w:adjustRightInd w:val="0"/>
        <w:ind w:left="480" w:hanging="480"/>
        <w:rPr>
          <w:color w:val="000000" w:themeColor="text1"/>
        </w:rPr>
      </w:pPr>
    </w:p>
    <w:p w14:paraId="608D0094" w14:textId="77777777" w:rsidR="004B334D" w:rsidRPr="00C51CE2" w:rsidRDefault="004B334D" w:rsidP="004B334D">
      <w:pPr>
        <w:widowControl w:val="0"/>
        <w:autoSpaceDE w:val="0"/>
        <w:autoSpaceDN w:val="0"/>
        <w:adjustRightInd w:val="0"/>
        <w:ind w:left="480" w:hanging="480"/>
        <w:rPr>
          <w:color w:val="000000" w:themeColor="text1"/>
        </w:rPr>
      </w:pPr>
    </w:p>
    <w:p w14:paraId="1C5C1ADD" w14:textId="77777777" w:rsidR="004B334D" w:rsidRPr="00C51CE2" w:rsidRDefault="004B334D" w:rsidP="004B334D">
      <w:pPr>
        <w:widowControl w:val="0"/>
        <w:autoSpaceDE w:val="0"/>
        <w:autoSpaceDN w:val="0"/>
        <w:adjustRightInd w:val="0"/>
        <w:ind w:left="480" w:hanging="480"/>
        <w:rPr>
          <w:color w:val="000000" w:themeColor="text1"/>
        </w:rPr>
      </w:pPr>
    </w:p>
    <w:p w14:paraId="147F55BF" w14:textId="77777777" w:rsidR="004B334D" w:rsidRPr="00C51CE2" w:rsidRDefault="004B334D" w:rsidP="004B334D">
      <w:pPr>
        <w:widowControl w:val="0"/>
        <w:autoSpaceDE w:val="0"/>
        <w:autoSpaceDN w:val="0"/>
        <w:adjustRightInd w:val="0"/>
        <w:ind w:left="480" w:hanging="480"/>
        <w:rPr>
          <w:color w:val="000000" w:themeColor="text1"/>
        </w:rPr>
      </w:pPr>
    </w:p>
    <w:p w14:paraId="74094278" w14:textId="77777777" w:rsidR="004B334D" w:rsidRPr="00C51CE2" w:rsidRDefault="004B334D" w:rsidP="004B334D">
      <w:pPr>
        <w:widowControl w:val="0"/>
        <w:autoSpaceDE w:val="0"/>
        <w:autoSpaceDN w:val="0"/>
        <w:adjustRightInd w:val="0"/>
        <w:ind w:left="480" w:hanging="480"/>
        <w:rPr>
          <w:color w:val="000000" w:themeColor="text1"/>
        </w:rPr>
      </w:pPr>
    </w:p>
    <w:p w14:paraId="2247FDBE" w14:textId="77777777" w:rsidR="004B334D" w:rsidRPr="00C51CE2" w:rsidRDefault="004B334D" w:rsidP="004B334D">
      <w:pPr>
        <w:widowControl w:val="0"/>
        <w:autoSpaceDE w:val="0"/>
        <w:autoSpaceDN w:val="0"/>
        <w:adjustRightInd w:val="0"/>
        <w:ind w:left="480" w:hanging="480"/>
        <w:rPr>
          <w:color w:val="000000" w:themeColor="text1"/>
        </w:rPr>
      </w:pPr>
    </w:p>
    <w:p w14:paraId="3EDE1726" w14:textId="77777777" w:rsidR="004B334D" w:rsidRPr="00C51CE2" w:rsidRDefault="004B334D" w:rsidP="004B334D">
      <w:pPr>
        <w:widowControl w:val="0"/>
        <w:autoSpaceDE w:val="0"/>
        <w:autoSpaceDN w:val="0"/>
        <w:adjustRightInd w:val="0"/>
        <w:ind w:left="480" w:hanging="480"/>
        <w:rPr>
          <w:color w:val="000000" w:themeColor="text1"/>
        </w:rPr>
      </w:pPr>
    </w:p>
    <w:p w14:paraId="1088F5A0" w14:textId="77777777" w:rsidR="0039271E" w:rsidRDefault="0039271E" w:rsidP="002953E1">
      <w:pPr>
        <w:rPr>
          <w:lang w:val="en-US"/>
        </w:rPr>
      </w:pPr>
    </w:p>
    <w:p w14:paraId="5795508C" w14:textId="77777777" w:rsidR="0039271E" w:rsidRPr="002953E1" w:rsidRDefault="0039271E" w:rsidP="002953E1">
      <w:pPr>
        <w:rPr>
          <w:lang w:val="en-US"/>
        </w:rPr>
      </w:pPr>
    </w:p>
    <w:sectPr w:rsidR="0039271E" w:rsidRPr="002953E1" w:rsidSect="00F701F7">
      <w:pgSz w:w="11900" w:h="16840"/>
      <w:pgMar w:top="1440" w:right="1440" w:bottom="1440" w:left="144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0" w:author="SM-T295" w:date="2022-06-05T21:07:00Z" w:initials="SM-T295">
    <w:p w14:paraId="692ADE53" w14:textId="77777777" w:rsidR="004B334D" w:rsidRDefault="004B334D" w:rsidP="004B334D">
      <w:r>
        <w:t>The demographical factors of students' multicultural self-efficacy : A comparative study between islamic and public high school</w:t>
      </w:r>
      <w:r>
        <w:br/>
      </w:r>
      <w:r>
        <w:br/>
        <w:t>Please avoid mentioning a specific region.</w:t>
      </w:r>
    </w:p>
  </w:comment>
  <w:comment w:id="1" w:author="Reviewer" w:date="2022-07-06T01:36:00Z" w:initials="R">
    <w:p w14:paraId="2CA007F8" w14:textId="77777777" w:rsidR="004B334D" w:rsidRDefault="004B334D" w:rsidP="004B334D">
      <w:pPr>
        <w:pStyle w:val="CommentText"/>
      </w:pPr>
      <w:r>
        <w:rPr>
          <w:rStyle w:val="CommentReference"/>
        </w:rPr>
        <w:annotationRef/>
      </w:r>
      <w:r>
        <w:t>A revised title: A Comparative Study between Islamic and Public High School on Multicultural Self-Efficacy</w:t>
      </w:r>
    </w:p>
  </w:comment>
  <w:comment w:id="2" w:author="Reviewer" w:date="2022-07-06T06:18:00Z" w:initials="R">
    <w:p w14:paraId="125E8B90" w14:textId="77777777" w:rsidR="004B334D" w:rsidRDefault="004B334D" w:rsidP="004B334D">
      <w:pPr>
        <w:pStyle w:val="CommentText"/>
      </w:pPr>
      <w:r>
        <w:rPr>
          <w:rStyle w:val="CommentReference"/>
        </w:rPr>
        <w:annotationRef/>
      </w:r>
      <w:r>
        <w:t>Number of words in Abstract has been revised to more than 150 words.</w:t>
      </w:r>
    </w:p>
  </w:comment>
  <w:comment w:id="3" w:author="SBI" w:date="2022-06-08T10:34:00Z" w:initials="SB">
    <w:p w14:paraId="501CDE51" w14:textId="77777777" w:rsidR="004B334D" w:rsidRDefault="004B334D" w:rsidP="004B334D">
      <w:pPr>
        <w:pStyle w:val="CommentText"/>
      </w:pPr>
      <w:r>
        <w:rPr>
          <w:rStyle w:val="CommentReference"/>
        </w:rPr>
        <w:annotationRef/>
      </w:r>
      <w:r>
        <w:t>There are two mandatory sub-sections in introduction, 1) rationale for current study &amp; 2) objectives/hypotheses. I did not see both in the introduction.</w:t>
      </w:r>
    </w:p>
  </w:comment>
  <w:comment w:id="4" w:author="Reviewer" w:date="2022-07-06T01:34:00Z" w:initials="R">
    <w:p w14:paraId="7E899C71" w14:textId="77777777" w:rsidR="004B334D" w:rsidRDefault="004B334D" w:rsidP="004B334D">
      <w:pPr>
        <w:pStyle w:val="CommentText"/>
      </w:pPr>
      <w:r>
        <w:rPr>
          <w:rStyle w:val="CommentReference"/>
        </w:rPr>
        <w:annotationRef/>
      </w:r>
      <w:r>
        <w:t>Subsection in rational for current study and objective and hypotheses have been added.</w:t>
      </w:r>
    </w:p>
  </w:comment>
  <w:comment w:id="5" w:author="SM-T295" w:date="2022-06-07T19:49:00Z" w:initials="SM-T295">
    <w:p w14:paraId="0043A526" w14:textId="77777777" w:rsidR="004B334D" w:rsidRDefault="004B334D" w:rsidP="004B334D">
      <w:r>
        <w:t xml:space="preserve">A more comprehensive literature review related to multicultural self-efficacy is necessary to position this research in literatures. Then, supported by an strong and appropriate novelty statement. </w:t>
      </w:r>
    </w:p>
  </w:comment>
  <w:comment w:id="6" w:author="Reviewer" w:date="2022-07-06T01:31:00Z" w:initials="R">
    <w:p w14:paraId="3E234D4A" w14:textId="77777777" w:rsidR="004B334D" w:rsidRDefault="004B334D" w:rsidP="004B334D">
      <w:pPr>
        <w:pStyle w:val="CommentText"/>
      </w:pPr>
      <w:r>
        <w:rPr>
          <w:rStyle w:val="CommentReference"/>
        </w:rPr>
        <w:annotationRef/>
      </w:r>
      <w:r>
        <w:t>Literature review has been added..</w:t>
      </w:r>
    </w:p>
  </w:comment>
  <w:comment w:id="7" w:author="Reviewer" w:date="2022-07-07T22:02:00Z" w:initials="R">
    <w:p w14:paraId="6B58E959" w14:textId="77777777" w:rsidR="004B334D" w:rsidRDefault="004B334D" w:rsidP="004B334D">
      <w:pPr>
        <w:pStyle w:val="CommentText"/>
      </w:pPr>
      <w:r>
        <w:rPr>
          <w:rStyle w:val="CommentReference"/>
        </w:rPr>
        <w:annotationRef/>
      </w:r>
      <w:r>
        <w:t>Novelty statement is added.</w:t>
      </w:r>
    </w:p>
    <w:p w14:paraId="4CFCDEE9" w14:textId="77777777" w:rsidR="004B334D" w:rsidRDefault="004B334D" w:rsidP="004B334D">
      <w:pPr>
        <w:pStyle w:val="CommentText"/>
      </w:pPr>
    </w:p>
  </w:comment>
  <w:comment w:id="8" w:author="Reviewer" w:date="2022-07-06T06:23:00Z" w:initials="R">
    <w:p w14:paraId="1C0079EC" w14:textId="77777777" w:rsidR="004B334D" w:rsidRDefault="004B334D" w:rsidP="004B334D">
      <w:pPr>
        <w:pStyle w:val="CommentText"/>
      </w:pPr>
      <w:r>
        <w:rPr>
          <w:rStyle w:val="CommentReference"/>
        </w:rPr>
        <w:annotationRef/>
      </w:r>
      <w:r>
        <w:t>The objective of study is stated.</w:t>
      </w:r>
    </w:p>
  </w:comment>
  <w:comment w:id="9" w:author="Reviewer" w:date="2022-07-07T21:58:00Z" w:initials="R">
    <w:p w14:paraId="59520E14" w14:textId="77777777" w:rsidR="004B334D" w:rsidRDefault="004B334D" w:rsidP="004B334D">
      <w:pPr>
        <w:pStyle w:val="CommentText"/>
      </w:pPr>
      <w:r>
        <w:rPr>
          <w:rStyle w:val="CommentReference"/>
        </w:rPr>
        <w:annotationRef/>
      </w:r>
      <w:r>
        <w:t>Research hypotheses is stated.</w:t>
      </w:r>
    </w:p>
  </w:comment>
  <w:comment w:id="10" w:author="SBI" w:date="2022-06-08T10:34:00Z" w:initials="SB">
    <w:p w14:paraId="3BF2E9B6" w14:textId="77777777" w:rsidR="004B334D" w:rsidRDefault="004B334D" w:rsidP="004B334D">
      <w:pPr>
        <w:pStyle w:val="CommentText"/>
      </w:pPr>
      <w:r>
        <w:rPr>
          <w:rStyle w:val="CommentReference"/>
        </w:rPr>
        <w:annotationRef/>
      </w:r>
      <w:r>
        <w:t>I would kindly advice the authors to re-written their methods. Please use these sub-sections in your methods RESEARCH DESIGN, PARTICIPANTS, INSTRUMENTS, RESEARCH PROCEDURES, AND ANALYSIS.</w:t>
      </w:r>
    </w:p>
  </w:comment>
  <w:comment w:id="11" w:author="Reviewer" w:date="2022-07-06T01:26:00Z" w:initials="R">
    <w:p w14:paraId="70FCB9CA" w14:textId="77777777" w:rsidR="004B334D" w:rsidRDefault="004B334D" w:rsidP="004B334D">
      <w:pPr>
        <w:pStyle w:val="CommentText"/>
      </w:pPr>
      <w:r>
        <w:rPr>
          <w:rStyle w:val="CommentReference"/>
        </w:rPr>
        <w:annotationRef/>
      </w:r>
      <w:r>
        <w:t>The method section has been rewritten by research design, participants, instruments, procedures, and analysis.</w:t>
      </w:r>
    </w:p>
  </w:comment>
  <w:comment w:id="13" w:author="SM-T295" w:date="2022-06-07T19:56:00Z" w:initials="SM-T295">
    <w:p w14:paraId="2A706FF2" w14:textId="77777777" w:rsidR="004B334D" w:rsidRDefault="004B334D" w:rsidP="004B334D">
      <w:r>
        <w:annotationRef/>
      </w:r>
      <w:r>
        <w:t xml:space="preserve">You could write "one Islamic high school and public high school". </w:t>
      </w:r>
    </w:p>
  </w:comment>
  <w:comment w:id="14" w:author="Reviewer" w:date="2022-07-06T01:29:00Z" w:initials="R">
    <w:p w14:paraId="3683709B" w14:textId="77777777" w:rsidR="004B334D" w:rsidRDefault="004B334D" w:rsidP="004B334D">
      <w:pPr>
        <w:pStyle w:val="CommentText"/>
      </w:pPr>
      <w:r>
        <w:rPr>
          <w:rStyle w:val="CommentReference"/>
        </w:rPr>
        <w:annotationRef/>
      </w:r>
      <w:r>
        <w:t>All Madrasah Aliyah has been replaced by Islamic public school.</w:t>
      </w:r>
    </w:p>
  </w:comment>
  <w:comment w:id="15" w:author="Reviewer" w:date="2022-07-06T01:38:00Z" w:initials="R">
    <w:p w14:paraId="6B83AE0B" w14:textId="77777777" w:rsidR="004B334D" w:rsidRDefault="004B334D" w:rsidP="004B334D">
      <w:pPr>
        <w:pStyle w:val="CommentText"/>
      </w:pPr>
      <w:r>
        <w:rPr>
          <w:rStyle w:val="CommentReference"/>
        </w:rPr>
        <w:annotationRef/>
      </w:r>
      <w:r>
        <w:t>Description of participant is revised for more informative.</w:t>
      </w:r>
    </w:p>
  </w:comment>
  <w:comment w:id="16" w:author="Reviewer" w:date="2022-07-06T01:42:00Z" w:initials="R">
    <w:p w14:paraId="35B8BDA1" w14:textId="77777777" w:rsidR="004B334D" w:rsidRDefault="004B334D" w:rsidP="004B334D">
      <w:pPr>
        <w:pStyle w:val="CommentText"/>
      </w:pPr>
      <w:r>
        <w:rPr>
          <w:rStyle w:val="CommentReference"/>
        </w:rPr>
        <w:annotationRef/>
      </w:r>
      <w:r>
        <w:t>Information of the instrument has been added, including an example of each subscale.</w:t>
      </w:r>
    </w:p>
  </w:comment>
  <w:comment w:id="17" w:author="SM-T295" w:date="2022-06-08T07:27:00Z" w:initials="SM-T295">
    <w:p w14:paraId="0B4F970B" w14:textId="77777777" w:rsidR="004B334D" w:rsidRDefault="004B334D" w:rsidP="004B334D">
      <w:r>
        <w:annotationRef/>
      </w:r>
      <w:r>
        <w:t>A paragraph about procedures would be needed. Explanations about whether current research is a part of a bigger research or not.</w:t>
      </w:r>
    </w:p>
  </w:comment>
  <w:comment w:id="18" w:author="Reviewer" w:date="2022-07-06T01:23:00Z" w:initials="R">
    <w:p w14:paraId="07623467" w14:textId="77777777" w:rsidR="004B334D" w:rsidRDefault="004B334D" w:rsidP="004B334D">
      <w:pPr>
        <w:pStyle w:val="CommentText"/>
      </w:pPr>
      <w:r>
        <w:rPr>
          <w:rStyle w:val="CommentReference"/>
        </w:rPr>
        <w:annotationRef/>
      </w:r>
      <w:r>
        <w:t>Procedure has been added. Explanation of showing this study is continuing a designed study has been added in the instrument part.</w:t>
      </w:r>
    </w:p>
  </w:comment>
  <w:comment w:id="19" w:author="SM-T295" w:date="2022-06-08T07:26:00Z" w:initials="SM-T295">
    <w:p w14:paraId="5D80F7C2" w14:textId="77777777" w:rsidR="004B334D" w:rsidRDefault="004B334D" w:rsidP="004B334D">
      <w:r>
        <w:annotationRef/>
      </w:r>
      <w:r>
        <w:t>What comparison analysis do authors use?</w:t>
      </w:r>
    </w:p>
  </w:comment>
  <w:comment w:id="20" w:author="Reviewer" w:date="2022-07-06T01:21:00Z" w:initials="R">
    <w:p w14:paraId="37ADAAFD" w14:textId="77777777" w:rsidR="004B334D" w:rsidRDefault="004B334D" w:rsidP="004B334D">
      <w:pPr>
        <w:pStyle w:val="CommentText"/>
      </w:pPr>
      <w:r>
        <w:rPr>
          <w:rStyle w:val="CommentReference"/>
        </w:rPr>
        <w:annotationRef/>
      </w:r>
      <w:r>
        <w:t>Methods of analysis has been added.</w:t>
      </w:r>
    </w:p>
  </w:comment>
  <w:comment w:id="21" w:author="Reviewer" w:date="2022-07-06T01:43:00Z" w:initials="R">
    <w:p w14:paraId="1C8579C3" w14:textId="77777777" w:rsidR="004B334D" w:rsidRDefault="004B334D" w:rsidP="004B334D">
      <w:pPr>
        <w:pStyle w:val="CommentText"/>
      </w:pPr>
      <w:r>
        <w:rPr>
          <w:rStyle w:val="CommentReference"/>
        </w:rPr>
        <w:annotationRef/>
      </w:r>
      <w:r>
        <w:t xml:space="preserve">Table 3 is displayed without data of subscales. Comparison is made according grade levels and type of school. </w:t>
      </w:r>
    </w:p>
  </w:comment>
  <w:comment w:id="22" w:author="Reviewer" w:date="2022-07-06T01:48:00Z" w:initials="R">
    <w:p w14:paraId="479CFD1D" w14:textId="77777777" w:rsidR="004B334D" w:rsidRDefault="004B334D" w:rsidP="004B334D">
      <w:pPr>
        <w:pStyle w:val="CommentText"/>
      </w:pPr>
      <w:r>
        <w:rPr>
          <w:rStyle w:val="CommentReference"/>
        </w:rPr>
        <w:annotationRef/>
      </w:r>
      <w:r>
        <w:t>Mean score comparison on gender is revised in order to give data in more detail.</w:t>
      </w:r>
    </w:p>
  </w:comment>
  <w:comment w:id="23" w:author="SBI" w:date="2022-06-08T10:37:00Z" w:initials="SB">
    <w:p w14:paraId="6CA7221E" w14:textId="77777777" w:rsidR="004B334D" w:rsidRDefault="004B334D" w:rsidP="004B334D">
      <w:pPr>
        <w:pStyle w:val="CommentText"/>
      </w:pPr>
      <w:r>
        <w:rPr>
          <w:rStyle w:val="CommentReference"/>
        </w:rPr>
        <w:annotationRef/>
      </w:r>
      <w:r>
        <w:t>The references should be no less than 60.</w:t>
      </w:r>
    </w:p>
    <w:p w14:paraId="62D4B7E8" w14:textId="77777777" w:rsidR="004B334D" w:rsidRDefault="004B334D" w:rsidP="004B334D">
      <w:pPr>
        <w:pStyle w:val="CommentText"/>
      </w:pPr>
    </w:p>
  </w:comment>
  <w:comment w:id="24" w:author="Reviewer" w:date="2022-07-06T01:18:00Z" w:initials="R">
    <w:p w14:paraId="15A02569" w14:textId="77777777" w:rsidR="004B334D" w:rsidRDefault="004B334D" w:rsidP="004B334D">
      <w:pPr>
        <w:pStyle w:val="CommentText"/>
      </w:pPr>
      <w:r>
        <w:rPr>
          <w:rStyle w:val="CommentReference"/>
        </w:rPr>
        <w:annotationRef/>
      </w:r>
      <w:r>
        <w:t>The related references have been added to 73.</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692ADE53" w15:done="0"/>
  <w15:commentEx w15:paraId="2CA007F8" w15:paraIdParent="692ADE53" w15:done="0"/>
  <w15:commentEx w15:paraId="125E8B90" w15:done="0"/>
  <w15:commentEx w15:paraId="501CDE51" w15:done="0"/>
  <w15:commentEx w15:paraId="7E899C71" w15:paraIdParent="501CDE51" w15:done="0"/>
  <w15:commentEx w15:paraId="0043A526" w15:done="0"/>
  <w15:commentEx w15:paraId="3E234D4A" w15:paraIdParent="0043A526" w15:done="0"/>
  <w15:commentEx w15:paraId="4CFCDEE9" w15:done="0"/>
  <w15:commentEx w15:paraId="1C0079EC" w15:done="0"/>
  <w15:commentEx w15:paraId="59520E14" w15:done="0"/>
  <w15:commentEx w15:paraId="3BF2E9B6" w15:done="0"/>
  <w15:commentEx w15:paraId="70FCB9CA" w15:paraIdParent="3BF2E9B6" w15:done="0"/>
  <w15:commentEx w15:paraId="2A706FF2" w15:done="0"/>
  <w15:commentEx w15:paraId="3683709B" w15:paraIdParent="2A706FF2" w15:done="0"/>
  <w15:commentEx w15:paraId="6B83AE0B" w15:done="0"/>
  <w15:commentEx w15:paraId="35B8BDA1" w15:done="0"/>
  <w15:commentEx w15:paraId="0B4F970B" w15:done="0"/>
  <w15:commentEx w15:paraId="07623467" w15:paraIdParent="0B4F970B" w15:done="0"/>
  <w15:commentEx w15:paraId="5D80F7C2" w15:done="0"/>
  <w15:commentEx w15:paraId="37ADAAFD" w15:paraIdParent="5D80F7C2" w15:done="0"/>
  <w15:commentEx w15:paraId="1C8579C3" w15:done="0"/>
  <w15:commentEx w15:paraId="479CFD1D" w15:done="0"/>
  <w15:commentEx w15:paraId="62D4B7E8" w15:done="0"/>
  <w15:commentEx w15:paraId="15A02569" w15:paraIdParent="62D4B7E8"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692ADE53" w16cid:durableId="264AF8D2"/>
  <w16cid:commentId w16cid:paraId="2CA007F8" w16cid:durableId="266F6587"/>
  <w16cid:commentId w16cid:paraId="125E8B90" w16cid:durableId="266FA7C1"/>
  <w16cid:commentId w16cid:paraId="501CDE51" w16cid:durableId="264AF998"/>
  <w16cid:commentId w16cid:paraId="7E899C71" w16cid:durableId="266F6532"/>
  <w16cid:commentId w16cid:paraId="0043A526" w16cid:durableId="264AF8D9"/>
  <w16cid:commentId w16cid:paraId="3E234D4A" w16cid:durableId="266F648F"/>
  <w16cid:commentId w16cid:paraId="4CFCDEE9" w16cid:durableId="2671D672"/>
  <w16cid:commentId w16cid:paraId="1C0079EC" w16cid:durableId="266FA8CB"/>
  <w16cid:commentId w16cid:paraId="59520E14" w16cid:durableId="2671D591"/>
  <w16cid:commentId w16cid:paraId="3BF2E9B6" w16cid:durableId="264AF9C4"/>
  <w16cid:commentId w16cid:paraId="70FCB9CA" w16cid:durableId="266F634F"/>
  <w16cid:commentId w16cid:paraId="2A706FF2" w16cid:durableId="264AF8DA"/>
  <w16cid:commentId w16cid:paraId="3683709B" w16cid:durableId="266F63E8"/>
  <w16cid:commentId w16cid:paraId="6B83AE0B" w16cid:durableId="28405F1D"/>
  <w16cid:commentId w16cid:paraId="35B8BDA1" w16cid:durableId="266F66F6"/>
  <w16cid:commentId w16cid:paraId="0B4F970B" w16cid:durableId="264AF8DD"/>
  <w16cid:commentId w16cid:paraId="07623467" w16cid:durableId="266F6280"/>
  <w16cid:commentId w16cid:paraId="5D80F7C2" w16cid:durableId="264AF8DE"/>
  <w16cid:commentId w16cid:paraId="37ADAAFD" w16cid:durableId="266F6227"/>
  <w16cid:commentId w16cid:paraId="1C8579C3" w16cid:durableId="266F6754"/>
  <w16cid:commentId w16cid:paraId="479CFD1D" w16cid:durableId="266F686F"/>
  <w16cid:commentId w16cid:paraId="62D4B7E8" w16cid:durableId="264AFA50"/>
  <w16cid:commentId w16cid:paraId="15A02569" w16cid:durableId="266F6179"/>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Courier New">
    <w:panose1 w:val="02070309020205020404"/>
    <w:charset w:val="00"/>
    <w:family w:val="modern"/>
    <w:pitch w:val="fixed"/>
    <w:sig w:usb0="E0002EFF" w:usb1="C0007843" w:usb2="00000009" w:usb3="00000000" w:csb0="000001FF" w:csb1="00000000"/>
  </w:font>
  <w:font w:name="Segoe UI">
    <w:altName w:val="Arial"/>
    <w:panose1 w:val="020B0604020202020204"/>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685AAEA0"/>
    <w:lvl w:ilvl="0">
      <w:start w:val="1"/>
      <w:numFmt w:val="decimal"/>
      <w:pStyle w:val="yange2"/>
      <w:lvlText w:val="%1."/>
      <w:lvlJc w:val="left"/>
      <w:pPr>
        <w:ind w:left="720" w:hanging="360"/>
      </w:pPr>
      <w:rPr>
        <w:rFonts w:ascii="Times New Roman" w:eastAsia="Times New Roman" w:hAnsi="Times New Roman" w:cs="Times New Roman"/>
        <w:b/>
        <w:i w:val="0"/>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0753791"/>
    <w:multiLevelType w:val="hybridMultilevel"/>
    <w:tmpl w:val="A320A2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68E1B39"/>
    <w:multiLevelType w:val="hybridMultilevel"/>
    <w:tmpl w:val="FFD89A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2446A98"/>
    <w:multiLevelType w:val="hybridMultilevel"/>
    <w:tmpl w:val="327C0B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68778A6"/>
    <w:multiLevelType w:val="hybridMultilevel"/>
    <w:tmpl w:val="742659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7B33A12"/>
    <w:multiLevelType w:val="hybridMultilevel"/>
    <w:tmpl w:val="E5B6F9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4530F48"/>
    <w:multiLevelType w:val="hybridMultilevel"/>
    <w:tmpl w:val="E28A79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CFB3896"/>
    <w:multiLevelType w:val="hybridMultilevel"/>
    <w:tmpl w:val="0CEE7C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07E5C78"/>
    <w:multiLevelType w:val="hybridMultilevel"/>
    <w:tmpl w:val="0CA098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4DC3DDA"/>
    <w:multiLevelType w:val="hybridMultilevel"/>
    <w:tmpl w:val="FA4491C6"/>
    <w:lvl w:ilvl="0" w:tplc="0434845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0495FFB"/>
    <w:multiLevelType w:val="hybridMultilevel"/>
    <w:tmpl w:val="CCDE0D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7BB9462C"/>
    <w:multiLevelType w:val="hybridMultilevel"/>
    <w:tmpl w:val="3AB81DA8"/>
    <w:lvl w:ilvl="0" w:tplc="0434845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1"/>
  </w:num>
  <w:num w:numId="2">
    <w:abstractNumId w:val="9"/>
  </w:num>
  <w:num w:numId="3">
    <w:abstractNumId w:val="0"/>
  </w:num>
  <w:num w:numId="4">
    <w:abstractNumId w:val="1"/>
  </w:num>
  <w:num w:numId="5">
    <w:abstractNumId w:val="8"/>
  </w:num>
  <w:num w:numId="6">
    <w:abstractNumId w:val="3"/>
  </w:num>
  <w:num w:numId="7">
    <w:abstractNumId w:val="5"/>
  </w:num>
  <w:num w:numId="8">
    <w:abstractNumId w:val="4"/>
  </w:num>
  <w:num w:numId="9">
    <w:abstractNumId w:val="2"/>
  </w:num>
  <w:num w:numId="10">
    <w:abstractNumId w:val="7"/>
  </w:num>
  <w:num w:numId="11">
    <w:abstractNumId w:val="6"/>
  </w:num>
  <w:num w:numId="12">
    <w:abstractNumId w:val="1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SBI">
    <w15:presenceInfo w15:providerId="None" w15:userId="SBI"/>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2"/>
  <w:displayBackgroundShape/>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02FC"/>
    <w:rsid w:val="000C4D05"/>
    <w:rsid w:val="002953E1"/>
    <w:rsid w:val="00326AF6"/>
    <w:rsid w:val="0039271E"/>
    <w:rsid w:val="003F67E8"/>
    <w:rsid w:val="004B334D"/>
    <w:rsid w:val="007B0B48"/>
    <w:rsid w:val="00872937"/>
    <w:rsid w:val="008F0879"/>
    <w:rsid w:val="009A02FC"/>
    <w:rsid w:val="009B285E"/>
    <w:rsid w:val="00B550B8"/>
    <w:rsid w:val="00BB51B8"/>
    <w:rsid w:val="00F701F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861625"/>
  <w15:chartTrackingRefBased/>
  <w15:docId w15:val="{6F53C5A4-D78F-914B-99E1-C1B51A55D7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PH"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F087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8F0879"/>
    <w:pPr>
      <w:ind w:left="720"/>
      <w:contextualSpacing/>
    </w:pPr>
  </w:style>
  <w:style w:type="character" w:customStyle="1" w:styleId="ListParagraphChar">
    <w:name w:val="List Paragraph Char"/>
    <w:link w:val="ListParagraph"/>
    <w:uiPriority w:val="34"/>
    <w:locked/>
    <w:rsid w:val="008F0879"/>
  </w:style>
  <w:style w:type="character" w:customStyle="1" w:styleId="y2iqfc">
    <w:name w:val="y2iqfc"/>
    <w:basedOn w:val="DefaultParagraphFont"/>
    <w:rsid w:val="004B334D"/>
  </w:style>
  <w:style w:type="paragraph" w:customStyle="1" w:styleId="yange2">
    <w:name w:val="yange2"/>
    <w:basedOn w:val="Normal"/>
    <w:rsid w:val="004B334D"/>
    <w:pPr>
      <w:numPr>
        <w:numId w:val="3"/>
      </w:numPr>
      <w:jc w:val="both"/>
    </w:pPr>
    <w:rPr>
      <w:rFonts w:ascii="Arial" w:eastAsia="Times New Roman" w:hAnsi="Arial" w:cs="Arial"/>
      <w:sz w:val="20"/>
      <w:lang w:val="en-US"/>
    </w:rPr>
  </w:style>
  <w:style w:type="table" w:styleId="TableGrid">
    <w:name w:val="Table Grid"/>
    <w:basedOn w:val="TableNormal"/>
    <w:uiPriority w:val="39"/>
    <w:rsid w:val="004B334D"/>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1">
    <w:name w:val="p1"/>
    <w:basedOn w:val="Normal"/>
    <w:rsid w:val="004B334D"/>
    <w:rPr>
      <w:rFonts w:ascii="Helvetica" w:eastAsia="Calibri" w:hAnsi="Helvetica" w:cs="Times New Roman"/>
      <w:sz w:val="18"/>
      <w:szCs w:val="18"/>
      <w:lang w:val="en-US"/>
    </w:rPr>
  </w:style>
  <w:style w:type="paragraph" w:customStyle="1" w:styleId="p2">
    <w:name w:val="p2"/>
    <w:basedOn w:val="Normal"/>
    <w:rsid w:val="004B334D"/>
    <w:pPr>
      <w:spacing w:line="240" w:lineRule="atLeast"/>
      <w:ind w:left="45"/>
      <w:jc w:val="center"/>
    </w:pPr>
    <w:rPr>
      <w:rFonts w:ascii="Arial" w:eastAsia="Calibri" w:hAnsi="Arial" w:cs="Arial"/>
      <w:color w:val="010204"/>
      <w:sz w:val="23"/>
      <w:szCs w:val="23"/>
      <w:lang w:val="en-US"/>
    </w:rPr>
  </w:style>
  <w:style w:type="paragraph" w:customStyle="1" w:styleId="p3">
    <w:name w:val="p3"/>
    <w:basedOn w:val="Normal"/>
    <w:rsid w:val="004B334D"/>
    <w:pPr>
      <w:spacing w:line="300" w:lineRule="atLeast"/>
    </w:pPr>
    <w:rPr>
      <w:rFonts w:ascii="Times New Roman" w:eastAsia="Calibri" w:hAnsi="Times New Roman" w:cs="Times New Roman"/>
      <w:sz w:val="18"/>
      <w:szCs w:val="18"/>
      <w:lang w:val="en-US"/>
    </w:rPr>
  </w:style>
  <w:style w:type="paragraph" w:styleId="NormalWeb">
    <w:name w:val="Normal (Web)"/>
    <w:basedOn w:val="Normal"/>
    <w:uiPriority w:val="99"/>
    <w:rsid w:val="004B334D"/>
    <w:pPr>
      <w:spacing w:before="100" w:beforeAutospacing="1" w:after="100" w:afterAutospacing="1"/>
    </w:pPr>
    <w:rPr>
      <w:rFonts w:ascii="Times New Roman" w:eastAsia="Calibri" w:hAnsi="Times New Roman" w:cs="Times New Roman"/>
      <w:lang w:val="en-US"/>
    </w:rPr>
  </w:style>
  <w:style w:type="paragraph" w:styleId="HTMLPreformatted">
    <w:name w:val="HTML Preformatted"/>
    <w:basedOn w:val="Normal"/>
    <w:link w:val="HTMLPreformattedChar"/>
    <w:uiPriority w:val="99"/>
    <w:rsid w:val="004B33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4B334D"/>
    <w:rPr>
      <w:rFonts w:ascii="Courier New" w:eastAsia="Times New Roman" w:hAnsi="Courier New" w:cs="Courier New"/>
      <w:sz w:val="20"/>
      <w:szCs w:val="20"/>
    </w:rPr>
  </w:style>
  <w:style w:type="character" w:customStyle="1" w:styleId="apple-converted-space">
    <w:name w:val="apple-converted-space"/>
    <w:basedOn w:val="DefaultParagraphFont"/>
    <w:rsid w:val="004B334D"/>
  </w:style>
  <w:style w:type="paragraph" w:styleId="Header">
    <w:name w:val="header"/>
    <w:basedOn w:val="Normal"/>
    <w:link w:val="HeaderChar"/>
    <w:uiPriority w:val="99"/>
    <w:rsid w:val="004B334D"/>
    <w:pPr>
      <w:tabs>
        <w:tab w:val="center" w:pos="4680"/>
        <w:tab w:val="right" w:pos="9360"/>
      </w:tabs>
    </w:pPr>
    <w:rPr>
      <w:rFonts w:ascii="Times New Roman" w:eastAsia="Times New Roman" w:hAnsi="Times New Roman" w:cs="Times New Roman"/>
    </w:rPr>
  </w:style>
  <w:style w:type="character" w:customStyle="1" w:styleId="HeaderChar">
    <w:name w:val="Header Char"/>
    <w:basedOn w:val="DefaultParagraphFont"/>
    <w:link w:val="Header"/>
    <w:uiPriority w:val="99"/>
    <w:rsid w:val="004B334D"/>
    <w:rPr>
      <w:rFonts w:ascii="Times New Roman" w:eastAsia="Times New Roman" w:hAnsi="Times New Roman" w:cs="Times New Roman"/>
    </w:rPr>
  </w:style>
  <w:style w:type="paragraph" w:styleId="Footer">
    <w:name w:val="footer"/>
    <w:basedOn w:val="Normal"/>
    <w:link w:val="FooterChar"/>
    <w:uiPriority w:val="99"/>
    <w:rsid w:val="004B334D"/>
    <w:pPr>
      <w:tabs>
        <w:tab w:val="center" w:pos="4680"/>
        <w:tab w:val="right" w:pos="9360"/>
      </w:tabs>
    </w:pPr>
    <w:rPr>
      <w:rFonts w:ascii="Times New Roman" w:eastAsia="Times New Roman" w:hAnsi="Times New Roman" w:cs="Times New Roman"/>
    </w:rPr>
  </w:style>
  <w:style w:type="character" w:customStyle="1" w:styleId="FooterChar">
    <w:name w:val="Footer Char"/>
    <w:basedOn w:val="DefaultParagraphFont"/>
    <w:link w:val="Footer"/>
    <w:uiPriority w:val="99"/>
    <w:rsid w:val="004B334D"/>
    <w:rPr>
      <w:rFonts w:ascii="Times New Roman" w:eastAsia="Times New Roman" w:hAnsi="Times New Roman" w:cs="Times New Roman"/>
    </w:rPr>
  </w:style>
  <w:style w:type="paragraph" w:styleId="CommentText">
    <w:name w:val="annotation text"/>
    <w:basedOn w:val="Normal"/>
    <w:link w:val="CommentTextChar"/>
    <w:uiPriority w:val="99"/>
    <w:semiHidden/>
    <w:unhideWhenUsed/>
    <w:rsid w:val="004B334D"/>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semiHidden/>
    <w:rsid w:val="004B334D"/>
    <w:rPr>
      <w:rFonts w:ascii="Times New Roman" w:eastAsia="Times New Roman" w:hAnsi="Times New Roman" w:cs="Times New Roman"/>
      <w:sz w:val="20"/>
      <w:szCs w:val="20"/>
    </w:rPr>
  </w:style>
  <w:style w:type="character" w:styleId="CommentReference">
    <w:name w:val="annotation reference"/>
    <w:basedOn w:val="DefaultParagraphFont"/>
    <w:uiPriority w:val="99"/>
    <w:semiHidden/>
    <w:unhideWhenUsed/>
    <w:rsid w:val="004B334D"/>
    <w:rPr>
      <w:sz w:val="16"/>
      <w:szCs w:val="16"/>
    </w:rPr>
  </w:style>
  <w:style w:type="paragraph" w:styleId="CommentSubject">
    <w:name w:val="annotation subject"/>
    <w:basedOn w:val="CommentText"/>
    <w:next w:val="CommentText"/>
    <w:link w:val="CommentSubjectChar"/>
    <w:uiPriority w:val="99"/>
    <w:semiHidden/>
    <w:unhideWhenUsed/>
    <w:rsid w:val="004B334D"/>
    <w:rPr>
      <w:b/>
      <w:bCs/>
    </w:rPr>
  </w:style>
  <w:style w:type="character" w:customStyle="1" w:styleId="CommentSubjectChar">
    <w:name w:val="Comment Subject Char"/>
    <w:basedOn w:val="CommentTextChar"/>
    <w:link w:val="CommentSubject"/>
    <w:uiPriority w:val="99"/>
    <w:semiHidden/>
    <w:rsid w:val="004B334D"/>
    <w:rPr>
      <w:rFonts w:ascii="Times New Roman" w:eastAsia="Times New Roman" w:hAnsi="Times New Roman" w:cs="Times New Roman"/>
      <w:b/>
      <w:bCs/>
      <w:sz w:val="20"/>
      <w:szCs w:val="20"/>
    </w:rPr>
  </w:style>
  <w:style w:type="paragraph" w:styleId="BalloonText">
    <w:name w:val="Balloon Text"/>
    <w:basedOn w:val="Normal"/>
    <w:link w:val="BalloonTextChar"/>
    <w:uiPriority w:val="99"/>
    <w:semiHidden/>
    <w:unhideWhenUsed/>
    <w:rsid w:val="004B334D"/>
    <w:rPr>
      <w:rFonts w:ascii="Times New Roman" w:eastAsia="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4B334D"/>
    <w:rPr>
      <w:rFonts w:ascii="Times New Roman" w:eastAsia="Times New Roman" w:hAnsi="Times New Roman" w:cs="Times New Roman"/>
      <w:sz w:val="18"/>
      <w:szCs w:val="18"/>
    </w:rPr>
  </w:style>
  <w:style w:type="paragraph" w:styleId="EndnoteText">
    <w:name w:val="endnote text"/>
    <w:basedOn w:val="Normal"/>
    <w:link w:val="EndnoteTextChar"/>
    <w:uiPriority w:val="99"/>
    <w:semiHidden/>
    <w:unhideWhenUsed/>
    <w:rsid w:val="004B334D"/>
    <w:rPr>
      <w:rFonts w:ascii="Times New Roman" w:eastAsia="Times New Roman" w:hAnsi="Times New Roman" w:cs="Times New Roman"/>
      <w:sz w:val="20"/>
      <w:szCs w:val="20"/>
    </w:rPr>
  </w:style>
  <w:style w:type="character" w:customStyle="1" w:styleId="EndnoteTextChar">
    <w:name w:val="Endnote Text Char"/>
    <w:basedOn w:val="DefaultParagraphFont"/>
    <w:link w:val="EndnoteText"/>
    <w:uiPriority w:val="99"/>
    <w:semiHidden/>
    <w:rsid w:val="004B334D"/>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4B334D"/>
    <w:rPr>
      <w:vertAlign w:val="superscript"/>
    </w:rPr>
  </w:style>
  <w:style w:type="paragraph" w:styleId="FootnoteText">
    <w:name w:val="footnote text"/>
    <w:basedOn w:val="Normal"/>
    <w:link w:val="FootnoteTextChar"/>
    <w:uiPriority w:val="99"/>
    <w:semiHidden/>
    <w:unhideWhenUsed/>
    <w:rsid w:val="004B334D"/>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uiPriority w:val="99"/>
    <w:semiHidden/>
    <w:rsid w:val="004B334D"/>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4B334D"/>
    <w:rPr>
      <w:vertAlign w:val="superscript"/>
    </w:rPr>
  </w:style>
  <w:style w:type="character" w:styleId="Hyperlink">
    <w:name w:val="Hyperlink"/>
    <w:basedOn w:val="DefaultParagraphFont"/>
    <w:uiPriority w:val="99"/>
    <w:unhideWhenUsed/>
    <w:rsid w:val="004B334D"/>
    <w:rPr>
      <w:color w:val="0563C1" w:themeColor="hyperlink"/>
      <w:u w:val="single"/>
    </w:rPr>
  </w:style>
  <w:style w:type="character" w:styleId="UnresolvedMention">
    <w:name w:val="Unresolved Mention"/>
    <w:basedOn w:val="DefaultParagraphFont"/>
    <w:uiPriority w:val="99"/>
    <w:semiHidden/>
    <w:unhideWhenUsed/>
    <w:rsid w:val="004B334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546126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13" Type="http://schemas.openxmlformats.org/officeDocument/2006/relationships/image" Target="media/image9.tiff"/><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tiff"/><Relationship Id="rId12" Type="http://schemas.openxmlformats.org/officeDocument/2006/relationships/image" Target="media/image8.tiff"/><Relationship Id="rId17" Type="http://schemas.microsoft.com/office/2016/09/relationships/commentsIds" Target="commentsIds.xml"/><Relationship Id="rId2" Type="http://schemas.openxmlformats.org/officeDocument/2006/relationships/styles" Target="styles.xml"/><Relationship Id="rId16" Type="http://schemas.microsoft.com/office/2011/relationships/commentsExtended" Target="commentsExtended.xml"/><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tiff"/><Relationship Id="rId11" Type="http://schemas.openxmlformats.org/officeDocument/2006/relationships/image" Target="media/image7.tiff"/><Relationship Id="rId5" Type="http://schemas.openxmlformats.org/officeDocument/2006/relationships/image" Target="media/image1.tiff"/><Relationship Id="rId15" Type="http://schemas.openxmlformats.org/officeDocument/2006/relationships/comments" Target="comments.xml"/><Relationship Id="rId10" Type="http://schemas.openxmlformats.org/officeDocument/2006/relationships/image" Target="media/image6.tiff"/><Relationship Id="rId19" Type="http://schemas.microsoft.com/office/2011/relationships/people" Target="people.xml"/><Relationship Id="rId4" Type="http://schemas.openxmlformats.org/officeDocument/2006/relationships/webSettings" Target="webSettings.xml"/><Relationship Id="rId9" Type="http://schemas.openxmlformats.org/officeDocument/2006/relationships/image" Target="media/image5.tiff"/><Relationship Id="rId14" Type="http://schemas.openxmlformats.org/officeDocument/2006/relationships/image" Target="media/image10.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20</TotalTime>
  <Pages>29</Pages>
  <Words>24460</Words>
  <Characters>139422</Characters>
  <Application>Microsoft Office Word</Application>
  <DocSecurity>0</DocSecurity>
  <Lines>1161</Lines>
  <Paragraphs>327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163555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Reviewer</dc:creator>
  <cp:keywords/>
  <dc:description/>
  <cp:lastModifiedBy>Reviewer</cp:lastModifiedBy>
  <cp:revision>2</cp:revision>
  <dcterms:created xsi:type="dcterms:W3CDTF">2023-06-19T01:09:00Z</dcterms:created>
  <dcterms:modified xsi:type="dcterms:W3CDTF">2023-06-23T11:22:00Z</dcterms:modified>
</cp:coreProperties>
</file>