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27" w:rsidRDefault="00BB2113">
      <w:r>
        <w:t>LITERATUR REVIEW MAHMUD BASUKI</w:t>
      </w:r>
    </w:p>
    <w:p w:rsidR="00BB2113" w:rsidRDefault="00BB2113">
      <w:bookmarkStart w:id="0" w:name="_GoBack"/>
      <w:bookmarkEnd w:id="0"/>
    </w:p>
    <w:p w:rsidR="00C234D3" w:rsidRDefault="00C234D3">
      <w:r>
        <w:fldChar w:fldCharType="begin" w:fldLock="1"/>
      </w:r>
      <w:r>
        <w:instrText>ADDIN CSL_CITATION {"citationItems":[{"id":"ITEM-1","itemData":{"DOI":"10.1016/j.btre.2019.e00330","ISSN":"2215017X","abstract":"The aim of this study was to optimize in vitro conditions to enhance fibrinogenolytic activity of Solanum tuberosum subtilisin-like protease (StSBTc-3). The effects of StSTBc-3 concentration (0.2–5 μM), pH value (6–10) and temperature (35–50 °C) on fibrinogenolytic activity were studied through response surface methodology (RSM). We obtained a model that predicts the response accurately. The relationship between enzyme concentration and fibrinogenolytic activity was linear, while the main effect from pH and temperature on the response was quadratic. From the RSM generated model the optimum pH was 8 and the optimum temperature was 43 °C, while higher concentrations of enzyme produce higher activities. Under optimum conditions there were no statistically significant differences between the experimental responses and the ones predicted from the model. This model also predicts the activity under physiological conditions. These results confirm that StSTBc-3 is a good candidate to be considered for therapeutic uses. The generated model will be useful for biotechnological purposes.","author":[{"dropping-particle":"","family":"Pepe","given":"Alfonso","non-dropping-particle":"","parse-names":false,"suffix":""},{"dropping-particle":"","family":"Tito","given":"Florencia Rocío","non-dropping-particle":"","parse-names":false,"suffix":""},{"dropping-particle":"","family":"Daleo","given":"Gustavo Raúl","non-dropping-particle":"","parse-names":false,"suffix":""},{"dropping-particle":"","family":"Guevara","given":"María Gabriela","non-dropping-particle":"","parse-names":false,"suffix":""}],"container-title":"Biotechnology Reports","id":"ITEM-1","issued":{"date-parts":[["2019"]]},"page":"e00330","publisher":"Elsevier B.V.","title":"Optimization of fibrinogenolytic activity of Solanum tuberosum subtilisin-like protease (StSBTc-3) by response surface methodology","type":"article-journal","volume":"22"},"uris":["http://www.mendeley.com/documents/?uuid=4e33c5cf-d0c2-4109-8e35-d5f56f8f2542"]}],"mendeley":{"formattedCitation":"(Pepe, Tito, Daleo, &lt;i&gt;et al.&lt;/i&gt;, 2019)","plainTextFormattedCitation":"(Pepe, Tito, Daleo, et al., 2019)","previouslyFormattedCitation":"(Pepe, Tito, Daleo, &lt;i&gt;et al.&lt;/i&gt;, 2019)"},"properties":{"noteIndex":0},"schema":"https://github.com/citation-style-language/schema/raw/master/csl-citation.json"}</w:instrText>
      </w:r>
      <w:r>
        <w:fldChar w:fldCharType="separate"/>
      </w:r>
      <w:r w:rsidRPr="00C234D3">
        <w:rPr>
          <w:noProof/>
        </w:rPr>
        <w:t xml:space="preserve">(Pepe, Tito, Daleo, </w:t>
      </w:r>
      <w:r w:rsidRPr="00C234D3">
        <w:rPr>
          <w:i/>
          <w:noProof/>
        </w:rPr>
        <w:t>et al.</w:t>
      </w:r>
      <w:r w:rsidRPr="00C234D3">
        <w:rPr>
          <w:noProof/>
        </w:rPr>
        <w:t>, 2019)</w:t>
      </w:r>
      <w:r>
        <w:fldChar w:fldCharType="end"/>
      </w:r>
    </w:p>
    <w:p w:rsidR="001E748B" w:rsidRDefault="001E748B">
      <w:r>
        <w:fldChar w:fldCharType="begin" w:fldLock="1"/>
      </w:r>
      <w:r>
        <w:instrText>ADDIN CSL_CITATION {"citationItems":[{"id":"ITEM-1","itemData":{"DOI":"10.1007/s00170-015-6797-8","ISSN":"14333015","abstract":"Inconel 718 is a high-nickel-content superalloy which possesses excellent strength at elevated temperatures and resistance to oxidation and corrosion. This alloy has wide applications in the manufacturing of aircraft engine parts such as turbine disks, blades, combustors and casings, extrusion dies and containers, and hot work tools and dies, but the in-herent problems in machining of superalloys with convention-al techniques necessitate the use of alternative machining pro-cesses. The wire electrical discharge machining (WEDM) pro-cess has been recently explored as a good alternative of con-ventional machining methods, but there is lack of data and suitable models for predicting the performance of WEDM process particularly for Inconel 718. In the present work, empirical modeling of process parameters of the WEDM has been carried out for Inconel 718 using a well-known experimental design approach called response surface methodology. The parameters such as pulse-on time, pulse-off time, peak current, spark gap voltage, wire feed rate, and wire tension have been selected as input variables keeping others constant. The performance has been measured in terms of cutting rate and surface roughness. The models developed are found to be reliable representatives of the exper-imental results with prediction errors less than ±5 %. The opti-mized values of cutting rate and surface roughness achieved through multi-response optimization are 2.55 mm/min and 2.54 μm, respectively.","author":[{"dropping-particle":"","family":"Aggarwal","given":"Vivek","non-dropping-particle":"","parse-names":false,"suffix":""},{"dropping-particle":"","family":"Khangura","given":"Sehijpal Singh","non-dropping-particle":"","parse-names":false,"suffix":""},{"dropping-particle":"","family":"Garg","given":"R. K.","non-dropping-particle":"","parse-names":false,"suffix":""}],"container-title":"International Journal of Advanced Manufacturing Technology","id":"ITEM-1","issue":"1-4","issued":{"date-parts":[["2015"]]},"page":"31-47","title":"Parametric modeling and optimization for wire electrical discharge machining of Inconel 718 using response surface methodology","type":"article-journal","volume":"79"},"uris":["http://www.mendeley.com/documents/?uuid=764b22e3-2436-4f94-b87a-e3322386222b"]}],"mendeley":{"formattedCitation":"(Aggarwal, Khangura, and Garg, 2015)","plainTextFormattedCitation":"(Aggarwal, Khangura, and Garg, 2015)"},"properties":{"noteIndex":0},"schema":"https://github.com/citation-style-language/schema/raw/master/csl-citation.json"}</w:instrText>
      </w:r>
      <w:r>
        <w:fldChar w:fldCharType="separate"/>
      </w:r>
      <w:r w:rsidRPr="001E748B">
        <w:rPr>
          <w:noProof/>
        </w:rPr>
        <w:t>(Aggarwal, Khangura, and Garg, 2015)</w:t>
      </w:r>
      <w:r>
        <w:fldChar w:fldCharType="end"/>
      </w:r>
    </w:p>
    <w:p w:rsidR="00917305" w:rsidRDefault="00917305"/>
    <w:p w:rsidR="006D1929" w:rsidRDefault="006D1929"/>
    <w:p w:rsidR="006D1929" w:rsidRDefault="006D1929"/>
    <w:p w:rsidR="001E748B" w:rsidRPr="001E748B" w:rsidRDefault="00C234D3" w:rsidP="001E748B">
      <w:pPr>
        <w:widowControl w:val="0"/>
        <w:autoSpaceDE w:val="0"/>
        <w:autoSpaceDN w:val="0"/>
        <w:adjustRightInd w:val="0"/>
        <w:spacing w:line="240" w:lineRule="auto"/>
        <w:rPr>
          <w:rFonts w:ascii="Calibri" w:hAnsi="Calibri" w:cs="Times New Roman"/>
          <w:noProof/>
          <w:szCs w:val="24"/>
        </w:rPr>
      </w:pPr>
      <w:r>
        <w:fldChar w:fldCharType="begin" w:fldLock="1"/>
      </w:r>
      <w:r>
        <w:instrText xml:space="preserve">ADDIN Mendeley Bibliography CSL_BIBLIOGRAPHY </w:instrText>
      </w:r>
      <w:r>
        <w:fldChar w:fldCharType="separate"/>
      </w:r>
      <w:r w:rsidR="001E748B" w:rsidRPr="001E748B">
        <w:rPr>
          <w:rFonts w:ascii="Calibri" w:hAnsi="Calibri" w:cs="Times New Roman"/>
          <w:noProof/>
          <w:szCs w:val="24"/>
        </w:rPr>
        <w:t xml:space="preserve">Aggarwal, V., Khangura, S. S., and Garg, R. K. (2015) ‘Parametric modeling and optimization for wire electrical discharge machining of Inconel 718 using response surface methodology’, </w:t>
      </w:r>
      <w:r w:rsidR="001E748B" w:rsidRPr="001E748B">
        <w:rPr>
          <w:rFonts w:ascii="Calibri" w:hAnsi="Calibri" w:cs="Times New Roman"/>
          <w:i/>
          <w:iCs/>
          <w:noProof/>
          <w:szCs w:val="24"/>
        </w:rPr>
        <w:t>International Journal of Advanced Manufacturing Technology</w:t>
      </w:r>
      <w:r w:rsidR="001E748B" w:rsidRPr="001E748B">
        <w:rPr>
          <w:rFonts w:ascii="Calibri" w:hAnsi="Calibri" w:cs="Times New Roman"/>
          <w:noProof/>
          <w:szCs w:val="24"/>
        </w:rPr>
        <w:t>, 79(1–4), pp. 31–47. doi: 10.1007/s00170-015-6797-8.</w:t>
      </w:r>
    </w:p>
    <w:p w:rsidR="001E748B" w:rsidRPr="001E748B" w:rsidRDefault="001E748B" w:rsidP="001E748B">
      <w:pPr>
        <w:widowControl w:val="0"/>
        <w:autoSpaceDE w:val="0"/>
        <w:autoSpaceDN w:val="0"/>
        <w:adjustRightInd w:val="0"/>
        <w:spacing w:line="240" w:lineRule="auto"/>
        <w:rPr>
          <w:rFonts w:ascii="Calibri" w:hAnsi="Calibri"/>
          <w:noProof/>
        </w:rPr>
      </w:pPr>
      <w:r w:rsidRPr="001E748B">
        <w:rPr>
          <w:rFonts w:ascii="Calibri" w:hAnsi="Calibri" w:cs="Times New Roman"/>
          <w:noProof/>
          <w:szCs w:val="24"/>
        </w:rPr>
        <w:t xml:space="preserve">Pepe, A., Tito, F. R., Daleo, G. R., and Guevara, M. G. (2019) ‘Optimization of fibrinogenolytic activity of Solanum tuberosum subtilisin-like protease (StSBTc-3) by response surface methodology’, </w:t>
      </w:r>
      <w:r w:rsidRPr="001E748B">
        <w:rPr>
          <w:rFonts w:ascii="Calibri" w:hAnsi="Calibri" w:cs="Times New Roman"/>
          <w:i/>
          <w:iCs/>
          <w:noProof/>
          <w:szCs w:val="24"/>
        </w:rPr>
        <w:t>Biotechnology Reports</w:t>
      </w:r>
      <w:r w:rsidRPr="001E748B">
        <w:rPr>
          <w:rFonts w:ascii="Calibri" w:hAnsi="Calibri" w:cs="Times New Roman"/>
          <w:noProof/>
          <w:szCs w:val="24"/>
        </w:rPr>
        <w:t>. Elsevier B.V., 22, p. e00330. doi: 10.1016/j.btre.2019.e00330.</w:t>
      </w:r>
    </w:p>
    <w:p w:rsidR="006D1929" w:rsidRDefault="00C234D3">
      <w:r>
        <w:fldChar w:fldCharType="end"/>
      </w:r>
    </w:p>
    <w:p w:rsidR="006D1929" w:rsidRDefault="006D1929">
      <w:r>
        <w:br w:type="page"/>
      </w:r>
    </w:p>
    <w:tbl>
      <w:tblPr>
        <w:tblStyle w:val="TableGrid"/>
        <w:tblW w:w="14305" w:type="dxa"/>
        <w:tblLayout w:type="fixed"/>
        <w:tblLook w:val="04A0" w:firstRow="1" w:lastRow="0" w:firstColumn="1" w:lastColumn="0" w:noHBand="0" w:noVBand="1"/>
      </w:tblPr>
      <w:tblGrid>
        <w:gridCol w:w="535"/>
        <w:gridCol w:w="3150"/>
        <w:gridCol w:w="810"/>
        <w:gridCol w:w="4500"/>
        <w:gridCol w:w="3690"/>
        <w:gridCol w:w="1620"/>
      </w:tblGrid>
      <w:tr w:rsidR="003E6F74" w:rsidRPr="00FF4662" w:rsidTr="00FB5EE5">
        <w:tc>
          <w:tcPr>
            <w:tcW w:w="535" w:type="dxa"/>
          </w:tcPr>
          <w:p w:rsidR="003D0506" w:rsidRPr="00FF4662" w:rsidRDefault="003D0506" w:rsidP="00F7523F">
            <w:pPr>
              <w:rPr>
                <w:rFonts w:ascii="Times New Roman" w:hAnsi="Times New Roman" w:cs="Times New Roman"/>
                <w:sz w:val="24"/>
                <w:szCs w:val="24"/>
              </w:rPr>
            </w:pPr>
            <w:r w:rsidRPr="00FF4662">
              <w:rPr>
                <w:rFonts w:ascii="Times New Roman" w:hAnsi="Times New Roman" w:cs="Times New Roman"/>
                <w:sz w:val="24"/>
                <w:szCs w:val="24"/>
              </w:rPr>
              <w:lastRenderedPageBreak/>
              <w:t>No</w:t>
            </w:r>
          </w:p>
        </w:tc>
        <w:tc>
          <w:tcPr>
            <w:tcW w:w="3150" w:type="dxa"/>
          </w:tcPr>
          <w:p w:rsidR="003D0506" w:rsidRPr="00FF4662" w:rsidRDefault="003D0506" w:rsidP="00F7523F">
            <w:pPr>
              <w:rPr>
                <w:rFonts w:ascii="Times New Roman" w:hAnsi="Times New Roman" w:cs="Times New Roman"/>
                <w:sz w:val="24"/>
                <w:szCs w:val="24"/>
              </w:rPr>
            </w:pPr>
            <w:r w:rsidRPr="00FF4662">
              <w:rPr>
                <w:rFonts w:ascii="Times New Roman" w:hAnsi="Times New Roman" w:cs="Times New Roman"/>
                <w:sz w:val="24"/>
                <w:szCs w:val="24"/>
              </w:rPr>
              <w:t>Title</w:t>
            </w:r>
          </w:p>
        </w:tc>
        <w:tc>
          <w:tcPr>
            <w:tcW w:w="810" w:type="dxa"/>
          </w:tcPr>
          <w:p w:rsidR="003D0506" w:rsidRPr="00FF4662" w:rsidRDefault="003D0506" w:rsidP="00F7523F">
            <w:pPr>
              <w:rPr>
                <w:rFonts w:ascii="Times New Roman" w:hAnsi="Times New Roman" w:cs="Times New Roman"/>
                <w:sz w:val="24"/>
                <w:szCs w:val="24"/>
              </w:rPr>
            </w:pPr>
            <w:r w:rsidRPr="00FF4662">
              <w:rPr>
                <w:rFonts w:ascii="Times New Roman" w:hAnsi="Times New Roman" w:cs="Times New Roman"/>
                <w:sz w:val="24"/>
                <w:szCs w:val="24"/>
              </w:rPr>
              <w:t>Year</w:t>
            </w:r>
          </w:p>
        </w:tc>
        <w:tc>
          <w:tcPr>
            <w:tcW w:w="4500" w:type="dxa"/>
          </w:tcPr>
          <w:p w:rsidR="003D0506" w:rsidRPr="00FF4662" w:rsidRDefault="003D0506" w:rsidP="00F7523F">
            <w:pPr>
              <w:rPr>
                <w:rFonts w:ascii="Times New Roman" w:hAnsi="Times New Roman" w:cs="Times New Roman"/>
                <w:sz w:val="24"/>
                <w:szCs w:val="24"/>
              </w:rPr>
            </w:pPr>
            <w:r w:rsidRPr="00FF4662">
              <w:rPr>
                <w:rFonts w:ascii="Times New Roman" w:hAnsi="Times New Roman" w:cs="Times New Roman"/>
                <w:sz w:val="24"/>
                <w:szCs w:val="24"/>
              </w:rPr>
              <w:t>Content</w:t>
            </w:r>
          </w:p>
        </w:tc>
        <w:tc>
          <w:tcPr>
            <w:tcW w:w="3690" w:type="dxa"/>
          </w:tcPr>
          <w:p w:rsidR="003D0506" w:rsidRPr="00FF4662" w:rsidRDefault="003D0506" w:rsidP="00F7523F">
            <w:pPr>
              <w:rPr>
                <w:rFonts w:ascii="Times New Roman" w:hAnsi="Times New Roman" w:cs="Times New Roman"/>
                <w:sz w:val="24"/>
                <w:szCs w:val="24"/>
              </w:rPr>
            </w:pPr>
            <w:r w:rsidRPr="00FF4662">
              <w:rPr>
                <w:rFonts w:ascii="Times New Roman" w:hAnsi="Times New Roman" w:cs="Times New Roman"/>
                <w:sz w:val="24"/>
                <w:szCs w:val="24"/>
              </w:rPr>
              <w:t>Conclusion</w:t>
            </w:r>
          </w:p>
        </w:tc>
        <w:tc>
          <w:tcPr>
            <w:tcW w:w="1620" w:type="dxa"/>
          </w:tcPr>
          <w:p w:rsidR="003D0506" w:rsidRPr="00FF4662" w:rsidRDefault="003D0506" w:rsidP="00F7523F">
            <w:pPr>
              <w:rPr>
                <w:rFonts w:ascii="Times New Roman" w:hAnsi="Times New Roman" w:cs="Times New Roman"/>
                <w:sz w:val="24"/>
                <w:szCs w:val="24"/>
              </w:rPr>
            </w:pPr>
            <w:r w:rsidRPr="00FF4662">
              <w:rPr>
                <w:rFonts w:ascii="Times New Roman" w:hAnsi="Times New Roman" w:cs="Times New Roman"/>
                <w:sz w:val="24"/>
                <w:szCs w:val="24"/>
              </w:rPr>
              <w:t>Remarks</w:t>
            </w:r>
          </w:p>
        </w:tc>
      </w:tr>
      <w:tr w:rsidR="003E6F74" w:rsidRPr="00FF4662" w:rsidTr="00FB5EE5">
        <w:tc>
          <w:tcPr>
            <w:tcW w:w="535" w:type="dxa"/>
          </w:tcPr>
          <w:p w:rsidR="003D0506" w:rsidRPr="00FF4662" w:rsidRDefault="00C234D3" w:rsidP="00F7523F">
            <w:pPr>
              <w:rPr>
                <w:rFonts w:ascii="Times New Roman" w:hAnsi="Times New Roman" w:cs="Times New Roman"/>
                <w:sz w:val="24"/>
                <w:szCs w:val="24"/>
              </w:rPr>
            </w:pPr>
            <w:r w:rsidRPr="00FF4662">
              <w:rPr>
                <w:rFonts w:ascii="Times New Roman" w:hAnsi="Times New Roman" w:cs="Times New Roman"/>
                <w:sz w:val="24"/>
                <w:szCs w:val="24"/>
              </w:rPr>
              <w:t>1</w:t>
            </w:r>
          </w:p>
        </w:tc>
        <w:tc>
          <w:tcPr>
            <w:tcW w:w="3150" w:type="dxa"/>
          </w:tcPr>
          <w:p w:rsidR="001E748B" w:rsidRPr="00FF4662" w:rsidRDefault="00C234D3" w:rsidP="001E748B">
            <w:pPr>
              <w:widowControl w:val="0"/>
              <w:autoSpaceDE w:val="0"/>
              <w:autoSpaceDN w:val="0"/>
              <w:adjustRightInd w:val="0"/>
              <w:spacing w:after="160"/>
              <w:rPr>
                <w:rFonts w:ascii="Times New Roman" w:hAnsi="Times New Roman" w:cs="Times New Roman"/>
                <w:noProof/>
                <w:sz w:val="24"/>
                <w:szCs w:val="24"/>
              </w:rPr>
            </w:pPr>
            <w:r w:rsidRPr="00FF4662">
              <w:rPr>
                <w:rFonts w:ascii="Times New Roman" w:hAnsi="Times New Roman" w:cs="Times New Roman"/>
                <w:sz w:val="24"/>
                <w:szCs w:val="24"/>
              </w:rPr>
              <w:fldChar w:fldCharType="begin" w:fldLock="1"/>
            </w:r>
            <w:r w:rsidRPr="00FF4662">
              <w:rPr>
                <w:rFonts w:ascii="Times New Roman" w:hAnsi="Times New Roman" w:cs="Times New Roman"/>
                <w:sz w:val="24"/>
                <w:szCs w:val="24"/>
              </w:rPr>
              <w:instrText xml:space="preserve">ADDIN Mendeley Bibliography CSL_BIBLIOGRAPHY </w:instrText>
            </w:r>
            <w:r w:rsidRPr="00FF4662">
              <w:rPr>
                <w:rFonts w:ascii="Times New Roman" w:hAnsi="Times New Roman" w:cs="Times New Roman"/>
                <w:sz w:val="24"/>
                <w:szCs w:val="24"/>
              </w:rPr>
              <w:fldChar w:fldCharType="separate"/>
            </w:r>
            <w:r w:rsidR="001E748B" w:rsidRPr="00FF4662">
              <w:rPr>
                <w:rFonts w:ascii="Times New Roman" w:hAnsi="Times New Roman" w:cs="Times New Roman"/>
                <w:noProof/>
                <w:sz w:val="24"/>
                <w:szCs w:val="24"/>
              </w:rPr>
              <w:t xml:space="preserve">Pepe, A., Tito, F. R., Daleo, G. R., and Guevara, M. G. (2019) ‘Optimization of fibrinogenolytic activity of Solanum tuberosum subtilisin-like protease (StSBTc-3) by response surface methodology’, </w:t>
            </w:r>
            <w:r w:rsidR="001E748B" w:rsidRPr="00FF4662">
              <w:rPr>
                <w:rFonts w:ascii="Times New Roman" w:hAnsi="Times New Roman" w:cs="Times New Roman"/>
                <w:i/>
                <w:iCs/>
                <w:noProof/>
                <w:sz w:val="24"/>
                <w:szCs w:val="24"/>
              </w:rPr>
              <w:t>Biotechnology Reports</w:t>
            </w:r>
            <w:r w:rsidR="001E748B" w:rsidRPr="00FF4662">
              <w:rPr>
                <w:rFonts w:ascii="Times New Roman" w:hAnsi="Times New Roman" w:cs="Times New Roman"/>
                <w:noProof/>
                <w:sz w:val="24"/>
                <w:szCs w:val="24"/>
              </w:rPr>
              <w:t>. Elsevier B.V., 22, p. e00330. doi: 10.1016/j.btre.2019.e00330.</w:t>
            </w:r>
          </w:p>
          <w:p w:rsidR="003D0506" w:rsidRPr="00FF4662" w:rsidRDefault="00C234D3" w:rsidP="00C234D3">
            <w:pPr>
              <w:widowControl w:val="0"/>
              <w:autoSpaceDE w:val="0"/>
              <w:autoSpaceDN w:val="0"/>
              <w:adjustRightInd w:val="0"/>
              <w:spacing w:after="160"/>
              <w:rPr>
                <w:rFonts w:ascii="Times New Roman" w:hAnsi="Times New Roman" w:cs="Times New Roman"/>
                <w:noProof/>
                <w:sz w:val="24"/>
                <w:szCs w:val="24"/>
              </w:rPr>
            </w:pPr>
            <w:r w:rsidRPr="00FF4662">
              <w:rPr>
                <w:rFonts w:ascii="Times New Roman" w:hAnsi="Times New Roman" w:cs="Times New Roman"/>
                <w:sz w:val="24"/>
                <w:szCs w:val="24"/>
              </w:rPr>
              <w:fldChar w:fldCharType="end"/>
            </w:r>
          </w:p>
        </w:tc>
        <w:tc>
          <w:tcPr>
            <w:tcW w:w="810" w:type="dxa"/>
          </w:tcPr>
          <w:p w:rsidR="003D0506" w:rsidRPr="00FF4662" w:rsidRDefault="0095642E" w:rsidP="00F7523F">
            <w:pPr>
              <w:rPr>
                <w:rFonts w:ascii="Times New Roman" w:hAnsi="Times New Roman" w:cs="Times New Roman"/>
                <w:sz w:val="24"/>
                <w:szCs w:val="24"/>
              </w:rPr>
            </w:pPr>
            <w:r w:rsidRPr="00FF4662">
              <w:rPr>
                <w:rFonts w:ascii="Times New Roman" w:hAnsi="Times New Roman" w:cs="Times New Roman"/>
                <w:sz w:val="24"/>
                <w:szCs w:val="24"/>
              </w:rPr>
              <w:t>2019</w:t>
            </w:r>
          </w:p>
        </w:tc>
        <w:tc>
          <w:tcPr>
            <w:tcW w:w="4500" w:type="dxa"/>
          </w:tcPr>
          <w:p w:rsidR="002C45C9" w:rsidRPr="00FF4662" w:rsidRDefault="002871FF" w:rsidP="00AB4271">
            <w:pPr>
              <w:pStyle w:val="ListParagraph"/>
              <w:numPr>
                <w:ilvl w:val="0"/>
                <w:numId w:val="10"/>
              </w:numPr>
              <w:ind w:left="342"/>
              <w:rPr>
                <w:rFonts w:ascii="Times New Roman" w:hAnsi="Times New Roman" w:cs="Times New Roman"/>
                <w:sz w:val="24"/>
                <w:szCs w:val="24"/>
              </w:rPr>
            </w:pPr>
            <w:r w:rsidRPr="00FF4662">
              <w:rPr>
                <w:rFonts w:ascii="Times New Roman" w:hAnsi="Times New Roman" w:cs="Times New Roman"/>
                <w:sz w:val="24"/>
                <w:szCs w:val="24"/>
              </w:rPr>
              <w:t>The aim of this study was to optimize in vitro conditions to enhance fibrinogenolytic activity of Solanum tuberosum subtilisin -like protease (StSBTc-3).</w:t>
            </w:r>
          </w:p>
          <w:p w:rsidR="00203A31" w:rsidRPr="00FF4662" w:rsidRDefault="00203A31" w:rsidP="00AB4271">
            <w:pPr>
              <w:pStyle w:val="ListParagraph"/>
              <w:numPr>
                <w:ilvl w:val="0"/>
                <w:numId w:val="10"/>
              </w:numPr>
              <w:ind w:left="342"/>
              <w:rPr>
                <w:rFonts w:ascii="Times New Roman" w:hAnsi="Times New Roman" w:cs="Times New Roman"/>
                <w:sz w:val="24"/>
                <w:szCs w:val="24"/>
              </w:rPr>
            </w:pPr>
            <w:r w:rsidRPr="00FF4662">
              <w:rPr>
                <w:rFonts w:ascii="Times New Roman" w:hAnsi="Times New Roman" w:cs="Times New Roman"/>
                <w:sz w:val="24"/>
                <w:szCs w:val="24"/>
              </w:rPr>
              <w:t>The effects of StSTBc-3 concentration (0.2–5 mM), pH value (6–10) and temperature (35–50 _C) on fibrinogenolytic activity were studied through response surface methodology (RSM).</w:t>
            </w:r>
          </w:p>
          <w:p w:rsidR="002C45C9" w:rsidRPr="00FF4662" w:rsidRDefault="002C45C9" w:rsidP="002C45C9">
            <w:pPr>
              <w:rPr>
                <w:rFonts w:ascii="Times New Roman" w:hAnsi="Times New Roman" w:cs="Times New Roman"/>
                <w:sz w:val="24"/>
                <w:szCs w:val="24"/>
              </w:rPr>
            </w:pPr>
          </w:p>
          <w:p w:rsidR="002C45C9" w:rsidRPr="00FF4662" w:rsidRDefault="002C45C9" w:rsidP="002C45C9">
            <w:pPr>
              <w:rPr>
                <w:rFonts w:ascii="Times New Roman" w:hAnsi="Times New Roman" w:cs="Times New Roman"/>
                <w:sz w:val="24"/>
                <w:szCs w:val="24"/>
              </w:rPr>
            </w:pPr>
          </w:p>
          <w:p w:rsidR="002C45C9" w:rsidRPr="00FF4662" w:rsidRDefault="002C45C9" w:rsidP="002C45C9">
            <w:pPr>
              <w:rPr>
                <w:rFonts w:ascii="Times New Roman" w:hAnsi="Times New Roman" w:cs="Times New Roman"/>
                <w:sz w:val="24"/>
                <w:szCs w:val="24"/>
              </w:rPr>
            </w:pPr>
          </w:p>
          <w:p w:rsidR="002C45C9" w:rsidRPr="00FF4662" w:rsidRDefault="002C45C9" w:rsidP="002C45C9">
            <w:pPr>
              <w:rPr>
                <w:rFonts w:ascii="Times New Roman" w:hAnsi="Times New Roman" w:cs="Times New Roman"/>
                <w:sz w:val="24"/>
                <w:szCs w:val="24"/>
              </w:rPr>
            </w:pPr>
          </w:p>
        </w:tc>
        <w:tc>
          <w:tcPr>
            <w:tcW w:w="3690" w:type="dxa"/>
          </w:tcPr>
          <w:p w:rsidR="003D0506" w:rsidRPr="00FF4662" w:rsidRDefault="00730925" w:rsidP="00AB4271">
            <w:pPr>
              <w:pStyle w:val="ListParagraph"/>
              <w:numPr>
                <w:ilvl w:val="0"/>
                <w:numId w:val="11"/>
              </w:numPr>
              <w:ind w:left="342"/>
              <w:rPr>
                <w:rFonts w:ascii="Times New Roman" w:hAnsi="Times New Roman" w:cs="Times New Roman"/>
                <w:sz w:val="24"/>
                <w:szCs w:val="24"/>
              </w:rPr>
            </w:pPr>
            <w:r w:rsidRPr="00FF4662">
              <w:rPr>
                <w:rFonts w:ascii="Times New Roman" w:hAnsi="Times New Roman" w:cs="Times New Roman"/>
                <w:sz w:val="24"/>
                <w:szCs w:val="24"/>
              </w:rPr>
              <w:t>From the RSM generated model the optimum pH was 8 and the optimum temperature was 43 _C, while higher concentrations of enzyme produce higher activities.</w:t>
            </w:r>
          </w:p>
          <w:p w:rsidR="00730925" w:rsidRPr="00FF4662" w:rsidRDefault="002338DD" w:rsidP="00AB4271">
            <w:pPr>
              <w:pStyle w:val="ListParagraph"/>
              <w:numPr>
                <w:ilvl w:val="0"/>
                <w:numId w:val="11"/>
              </w:numPr>
              <w:ind w:left="342"/>
              <w:rPr>
                <w:rFonts w:ascii="Times New Roman" w:hAnsi="Times New Roman" w:cs="Times New Roman"/>
                <w:sz w:val="24"/>
                <w:szCs w:val="24"/>
              </w:rPr>
            </w:pPr>
            <w:r w:rsidRPr="00FF4662">
              <w:rPr>
                <w:rFonts w:ascii="Times New Roman" w:hAnsi="Times New Roman" w:cs="Times New Roman"/>
                <w:sz w:val="24"/>
                <w:szCs w:val="24"/>
              </w:rPr>
              <w:t>Under optimum conditions there were no statistically significant differences between the experimental responses and the ones predicted from the model.</w:t>
            </w:r>
          </w:p>
          <w:p w:rsidR="002338DD" w:rsidRPr="00FF4662" w:rsidRDefault="002338DD" w:rsidP="00AB4271">
            <w:pPr>
              <w:pStyle w:val="ListParagraph"/>
              <w:numPr>
                <w:ilvl w:val="0"/>
                <w:numId w:val="11"/>
              </w:numPr>
              <w:ind w:left="342"/>
              <w:rPr>
                <w:rFonts w:ascii="Times New Roman" w:hAnsi="Times New Roman" w:cs="Times New Roman"/>
                <w:sz w:val="24"/>
                <w:szCs w:val="24"/>
              </w:rPr>
            </w:pPr>
            <w:r w:rsidRPr="00FF4662">
              <w:rPr>
                <w:rFonts w:ascii="Times New Roman" w:hAnsi="Times New Roman" w:cs="Times New Roman"/>
                <w:sz w:val="24"/>
                <w:szCs w:val="24"/>
              </w:rPr>
              <w:t>These results confirm that StSTBc-3 is a good candidate</w:t>
            </w:r>
          </w:p>
        </w:tc>
        <w:tc>
          <w:tcPr>
            <w:tcW w:w="1620" w:type="dxa"/>
          </w:tcPr>
          <w:p w:rsidR="0028524E" w:rsidRPr="00FF4662" w:rsidRDefault="0028524E" w:rsidP="0028524E">
            <w:pPr>
              <w:pStyle w:val="ListParagraph"/>
              <w:numPr>
                <w:ilvl w:val="0"/>
                <w:numId w:val="12"/>
              </w:numPr>
              <w:ind w:left="252"/>
              <w:rPr>
                <w:rFonts w:ascii="Times New Roman" w:hAnsi="Times New Roman" w:cs="Times New Roman"/>
                <w:sz w:val="24"/>
                <w:szCs w:val="24"/>
              </w:rPr>
            </w:pPr>
            <w:r w:rsidRPr="00FF4662">
              <w:rPr>
                <w:rFonts w:ascii="Times New Roman" w:hAnsi="Times New Roman" w:cs="Times New Roman"/>
                <w:sz w:val="24"/>
                <w:szCs w:val="24"/>
              </w:rPr>
              <w:t>Plant proteases</w:t>
            </w:r>
          </w:p>
          <w:p w:rsidR="0028524E" w:rsidRPr="00FF4662" w:rsidRDefault="0028524E" w:rsidP="0028524E">
            <w:pPr>
              <w:pStyle w:val="ListParagraph"/>
              <w:numPr>
                <w:ilvl w:val="0"/>
                <w:numId w:val="12"/>
              </w:numPr>
              <w:ind w:left="252"/>
              <w:rPr>
                <w:rFonts w:ascii="Times New Roman" w:hAnsi="Times New Roman" w:cs="Times New Roman"/>
                <w:sz w:val="24"/>
                <w:szCs w:val="24"/>
              </w:rPr>
            </w:pPr>
            <w:r w:rsidRPr="00FF4662">
              <w:rPr>
                <w:rFonts w:ascii="Times New Roman" w:hAnsi="Times New Roman" w:cs="Times New Roman"/>
                <w:sz w:val="24"/>
                <w:szCs w:val="24"/>
              </w:rPr>
              <w:t>Statistical analysis</w:t>
            </w:r>
          </w:p>
          <w:p w:rsidR="0028524E" w:rsidRPr="00FF4662" w:rsidRDefault="0088587A" w:rsidP="0028524E">
            <w:pPr>
              <w:pStyle w:val="ListParagraph"/>
              <w:numPr>
                <w:ilvl w:val="0"/>
                <w:numId w:val="12"/>
              </w:numPr>
              <w:ind w:left="252"/>
              <w:rPr>
                <w:rFonts w:ascii="Times New Roman" w:hAnsi="Times New Roman" w:cs="Times New Roman"/>
                <w:sz w:val="24"/>
                <w:szCs w:val="24"/>
              </w:rPr>
            </w:pPr>
            <w:r w:rsidRPr="00FF4662">
              <w:rPr>
                <w:rFonts w:ascii="Times New Roman" w:hAnsi="Times New Roman" w:cs="Times New Roman"/>
                <w:sz w:val="24"/>
                <w:szCs w:val="24"/>
              </w:rPr>
              <w:t>Hemostasi</w:t>
            </w:r>
          </w:p>
          <w:p w:rsidR="0028524E" w:rsidRPr="00FF4662" w:rsidRDefault="0028524E" w:rsidP="0028524E">
            <w:pPr>
              <w:pStyle w:val="ListParagraph"/>
              <w:numPr>
                <w:ilvl w:val="0"/>
                <w:numId w:val="12"/>
              </w:numPr>
              <w:ind w:left="252"/>
              <w:rPr>
                <w:rFonts w:ascii="Times New Roman" w:hAnsi="Times New Roman" w:cs="Times New Roman"/>
                <w:sz w:val="24"/>
                <w:szCs w:val="24"/>
              </w:rPr>
            </w:pPr>
            <w:r w:rsidRPr="00FF4662">
              <w:rPr>
                <w:rFonts w:ascii="Times New Roman" w:hAnsi="Times New Roman" w:cs="Times New Roman"/>
                <w:sz w:val="24"/>
                <w:szCs w:val="24"/>
              </w:rPr>
              <w:t>Serine proteases</w:t>
            </w:r>
          </w:p>
          <w:p w:rsidR="002F2FC9" w:rsidRPr="00FF4662" w:rsidRDefault="0088587A" w:rsidP="0028524E">
            <w:pPr>
              <w:pStyle w:val="ListParagraph"/>
              <w:numPr>
                <w:ilvl w:val="0"/>
                <w:numId w:val="12"/>
              </w:numPr>
              <w:ind w:left="252"/>
              <w:rPr>
                <w:rFonts w:ascii="Times New Roman" w:hAnsi="Times New Roman" w:cs="Times New Roman"/>
                <w:sz w:val="24"/>
                <w:szCs w:val="24"/>
              </w:rPr>
            </w:pPr>
            <w:r w:rsidRPr="00FF4662">
              <w:rPr>
                <w:rFonts w:ascii="Times New Roman" w:hAnsi="Times New Roman" w:cs="Times New Roman"/>
                <w:sz w:val="24"/>
                <w:szCs w:val="24"/>
              </w:rPr>
              <w:t>Blood</w:t>
            </w:r>
          </w:p>
        </w:tc>
      </w:tr>
      <w:tr w:rsidR="003E6F74" w:rsidRPr="00FF4662" w:rsidTr="00FB5EE5">
        <w:tc>
          <w:tcPr>
            <w:tcW w:w="535" w:type="dxa"/>
          </w:tcPr>
          <w:p w:rsidR="003D0506" w:rsidRPr="00FF4662" w:rsidRDefault="001E748B" w:rsidP="00F7523F">
            <w:pPr>
              <w:rPr>
                <w:rFonts w:ascii="Times New Roman" w:hAnsi="Times New Roman" w:cs="Times New Roman"/>
                <w:sz w:val="24"/>
                <w:szCs w:val="24"/>
              </w:rPr>
            </w:pPr>
            <w:r w:rsidRPr="00FF4662">
              <w:rPr>
                <w:rFonts w:ascii="Times New Roman" w:hAnsi="Times New Roman" w:cs="Times New Roman"/>
                <w:sz w:val="24"/>
                <w:szCs w:val="24"/>
              </w:rPr>
              <w:t>2</w:t>
            </w:r>
          </w:p>
        </w:tc>
        <w:tc>
          <w:tcPr>
            <w:tcW w:w="3150" w:type="dxa"/>
          </w:tcPr>
          <w:p w:rsidR="003D0506" w:rsidRPr="00FF4662" w:rsidRDefault="00653936" w:rsidP="00EC42E6">
            <w:pPr>
              <w:widowControl w:val="0"/>
              <w:autoSpaceDE w:val="0"/>
              <w:autoSpaceDN w:val="0"/>
              <w:adjustRightInd w:val="0"/>
              <w:spacing w:after="160"/>
              <w:rPr>
                <w:rFonts w:ascii="Times New Roman" w:hAnsi="Times New Roman" w:cs="Times New Roman"/>
                <w:noProof/>
                <w:sz w:val="24"/>
                <w:szCs w:val="24"/>
              </w:rPr>
            </w:pPr>
            <w:r w:rsidRPr="00FF4662">
              <w:rPr>
                <w:rFonts w:ascii="Times New Roman" w:hAnsi="Times New Roman" w:cs="Times New Roman"/>
                <w:sz w:val="24"/>
                <w:szCs w:val="24"/>
              </w:rPr>
              <w:fldChar w:fldCharType="begin" w:fldLock="1"/>
            </w:r>
            <w:r w:rsidRPr="00FF4662">
              <w:rPr>
                <w:rFonts w:ascii="Times New Roman" w:hAnsi="Times New Roman" w:cs="Times New Roman"/>
                <w:sz w:val="24"/>
                <w:szCs w:val="24"/>
              </w:rPr>
              <w:instrText xml:space="preserve">ADDIN Mendeley Bibliography CSL_BIBLIOGRAPHY </w:instrText>
            </w:r>
            <w:r w:rsidRPr="00FF4662">
              <w:rPr>
                <w:rFonts w:ascii="Times New Roman" w:hAnsi="Times New Roman" w:cs="Times New Roman"/>
                <w:sz w:val="24"/>
                <w:szCs w:val="24"/>
              </w:rPr>
              <w:fldChar w:fldCharType="separate"/>
            </w:r>
            <w:r w:rsidRPr="00FF4662">
              <w:rPr>
                <w:rFonts w:ascii="Times New Roman" w:hAnsi="Times New Roman" w:cs="Times New Roman"/>
                <w:noProof/>
                <w:sz w:val="24"/>
                <w:szCs w:val="24"/>
              </w:rPr>
              <w:t xml:space="preserve">Aggarwal, V., Khangura, S. S., and Garg, R. K. (2015) ‘Parametric modeling and optimization for wire electrical discharge machining of Inconel 718 using response surface methodology’, </w:t>
            </w:r>
            <w:r w:rsidRPr="00FF4662">
              <w:rPr>
                <w:rFonts w:ascii="Times New Roman" w:hAnsi="Times New Roman" w:cs="Times New Roman"/>
                <w:i/>
                <w:iCs/>
                <w:noProof/>
                <w:sz w:val="24"/>
                <w:szCs w:val="24"/>
              </w:rPr>
              <w:t>International Journal of Advanced Manufacturing Technology</w:t>
            </w:r>
            <w:r w:rsidRPr="00FF4662">
              <w:rPr>
                <w:rFonts w:ascii="Times New Roman" w:hAnsi="Times New Roman" w:cs="Times New Roman"/>
                <w:noProof/>
                <w:sz w:val="24"/>
                <w:szCs w:val="24"/>
              </w:rPr>
              <w:t xml:space="preserve">, 79(1–4), pp. 31–47. </w:t>
            </w:r>
            <w:r w:rsidR="00EC42E6" w:rsidRPr="00FF4662">
              <w:rPr>
                <w:rFonts w:ascii="Times New Roman" w:hAnsi="Times New Roman" w:cs="Times New Roman"/>
                <w:noProof/>
                <w:sz w:val="24"/>
                <w:szCs w:val="24"/>
              </w:rPr>
              <w:t>doi: 10.1007/s00170-015-6797-8.</w:t>
            </w:r>
            <w:r w:rsidRPr="00FF4662">
              <w:rPr>
                <w:rFonts w:ascii="Times New Roman" w:hAnsi="Times New Roman" w:cs="Times New Roman"/>
                <w:sz w:val="24"/>
                <w:szCs w:val="24"/>
              </w:rPr>
              <w:fldChar w:fldCharType="end"/>
            </w:r>
          </w:p>
        </w:tc>
        <w:tc>
          <w:tcPr>
            <w:tcW w:w="810" w:type="dxa"/>
          </w:tcPr>
          <w:p w:rsidR="003D0506" w:rsidRPr="00FF4662" w:rsidRDefault="00653936" w:rsidP="00F7523F">
            <w:pPr>
              <w:rPr>
                <w:rFonts w:ascii="Times New Roman" w:hAnsi="Times New Roman" w:cs="Times New Roman"/>
                <w:sz w:val="24"/>
                <w:szCs w:val="24"/>
              </w:rPr>
            </w:pPr>
            <w:r w:rsidRPr="00FF4662">
              <w:rPr>
                <w:rFonts w:ascii="Times New Roman" w:hAnsi="Times New Roman" w:cs="Times New Roman"/>
                <w:sz w:val="24"/>
                <w:szCs w:val="24"/>
              </w:rPr>
              <w:t>2015</w:t>
            </w:r>
          </w:p>
        </w:tc>
        <w:tc>
          <w:tcPr>
            <w:tcW w:w="4500" w:type="dxa"/>
          </w:tcPr>
          <w:p w:rsidR="00FB6DBB" w:rsidRPr="00FF4662" w:rsidRDefault="006B1DDA" w:rsidP="00FA2F83">
            <w:pPr>
              <w:pStyle w:val="ListParagraph"/>
              <w:numPr>
                <w:ilvl w:val="0"/>
                <w:numId w:val="17"/>
              </w:numPr>
              <w:autoSpaceDE w:val="0"/>
              <w:autoSpaceDN w:val="0"/>
              <w:adjustRightInd w:val="0"/>
              <w:ind w:left="342"/>
              <w:rPr>
                <w:rFonts w:ascii="Times New Roman" w:hAnsi="Times New Roman" w:cs="Times New Roman"/>
                <w:color w:val="131413"/>
                <w:sz w:val="24"/>
                <w:szCs w:val="24"/>
              </w:rPr>
            </w:pPr>
            <w:r w:rsidRPr="00FF4662">
              <w:rPr>
                <w:rFonts w:ascii="Times New Roman" w:hAnsi="Times New Roman" w:cs="Times New Roman"/>
                <w:color w:val="131413"/>
                <w:sz w:val="24"/>
                <w:szCs w:val="24"/>
              </w:rPr>
              <w:t>Inconel 718 is a high-nickel-content superalloy which possesses excellent strength at elevated temperatures and resistance to oxidation and corrosion</w:t>
            </w:r>
          </w:p>
          <w:p w:rsidR="006B1DDA" w:rsidRPr="00FF4662" w:rsidRDefault="00FA2F83" w:rsidP="00FB6DBB">
            <w:pPr>
              <w:pStyle w:val="ListParagraph"/>
              <w:numPr>
                <w:ilvl w:val="0"/>
                <w:numId w:val="17"/>
              </w:numPr>
              <w:autoSpaceDE w:val="0"/>
              <w:autoSpaceDN w:val="0"/>
              <w:adjustRightInd w:val="0"/>
              <w:ind w:left="342"/>
              <w:rPr>
                <w:rFonts w:ascii="Times New Roman" w:hAnsi="Times New Roman" w:cs="Times New Roman"/>
                <w:color w:val="131413"/>
                <w:sz w:val="24"/>
                <w:szCs w:val="24"/>
              </w:rPr>
            </w:pPr>
            <w:r w:rsidRPr="00FF4662">
              <w:rPr>
                <w:rFonts w:ascii="Times New Roman" w:hAnsi="Times New Roman" w:cs="Times New Roman"/>
                <w:color w:val="131413"/>
                <w:sz w:val="24"/>
                <w:szCs w:val="24"/>
              </w:rPr>
              <w:t>In the present work,</w:t>
            </w:r>
            <w:r w:rsidR="00FB6DBB" w:rsidRPr="00FF4662">
              <w:rPr>
                <w:rFonts w:ascii="Times New Roman" w:hAnsi="Times New Roman" w:cs="Times New Roman"/>
                <w:color w:val="131413"/>
                <w:sz w:val="24"/>
                <w:szCs w:val="24"/>
              </w:rPr>
              <w:t xml:space="preserve"> </w:t>
            </w:r>
            <w:r w:rsidRPr="00FF4662">
              <w:rPr>
                <w:rFonts w:ascii="Times New Roman" w:hAnsi="Times New Roman" w:cs="Times New Roman"/>
                <w:color w:val="131413"/>
                <w:sz w:val="24"/>
                <w:szCs w:val="24"/>
              </w:rPr>
              <w:t>empirical modeling of process parameters of the WEDM</w:t>
            </w:r>
            <w:r w:rsidR="00FB6DBB" w:rsidRPr="00FF4662">
              <w:rPr>
                <w:rFonts w:ascii="Times New Roman" w:hAnsi="Times New Roman" w:cs="Times New Roman"/>
                <w:color w:val="131413"/>
                <w:sz w:val="24"/>
                <w:szCs w:val="24"/>
              </w:rPr>
              <w:t xml:space="preserve"> </w:t>
            </w:r>
            <w:r w:rsidRPr="00FF4662">
              <w:rPr>
                <w:rFonts w:ascii="Times New Roman" w:hAnsi="Times New Roman" w:cs="Times New Roman"/>
                <w:color w:val="131413"/>
                <w:sz w:val="24"/>
                <w:szCs w:val="24"/>
              </w:rPr>
              <w:t>has been carried out for Inconel 718 using a well-known</w:t>
            </w:r>
            <w:r w:rsidR="00FB6DBB" w:rsidRPr="00FF4662">
              <w:rPr>
                <w:rFonts w:ascii="Times New Roman" w:hAnsi="Times New Roman" w:cs="Times New Roman"/>
                <w:color w:val="131413"/>
                <w:sz w:val="24"/>
                <w:szCs w:val="24"/>
              </w:rPr>
              <w:t xml:space="preserve"> </w:t>
            </w:r>
            <w:r w:rsidRPr="00FF4662">
              <w:rPr>
                <w:rFonts w:ascii="Times New Roman" w:hAnsi="Times New Roman" w:cs="Times New Roman"/>
                <w:color w:val="131413"/>
                <w:sz w:val="24"/>
                <w:szCs w:val="24"/>
              </w:rPr>
              <w:t>experimental design approach called response surface</w:t>
            </w:r>
            <w:r w:rsidR="00FB6DBB" w:rsidRPr="00FF4662">
              <w:rPr>
                <w:rFonts w:ascii="Times New Roman" w:hAnsi="Times New Roman" w:cs="Times New Roman"/>
                <w:color w:val="131413"/>
                <w:sz w:val="24"/>
                <w:szCs w:val="24"/>
              </w:rPr>
              <w:t xml:space="preserve"> </w:t>
            </w:r>
            <w:r w:rsidRPr="00FF4662">
              <w:rPr>
                <w:rFonts w:ascii="Times New Roman" w:hAnsi="Times New Roman" w:cs="Times New Roman"/>
                <w:color w:val="131413"/>
                <w:sz w:val="24"/>
                <w:szCs w:val="24"/>
              </w:rPr>
              <w:t>methodology.</w:t>
            </w:r>
          </w:p>
        </w:tc>
        <w:tc>
          <w:tcPr>
            <w:tcW w:w="3690" w:type="dxa"/>
          </w:tcPr>
          <w:p w:rsidR="00FB213A" w:rsidRPr="00FF4662" w:rsidRDefault="00FB213A" w:rsidP="00FB213A">
            <w:pPr>
              <w:pStyle w:val="ListParagraph"/>
              <w:numPr>
                <w:ilvl w:val="0"/>
                <w:numId w:val="16"/>
              </w:numPr>
              <w:autoSpaceDE w:val="0"/>
              <w:autoSpaceDN w:val="0"/>
              <w:adjustRightInd w:val="0"/>
              <w:ind w:left="342"/>
              <w:rPr>
                <w:rFonts w:ascii="Times New Roman" w:hAnsi="Times New Roman" w:cs="Times New Roman"/>
                <w:color w:val="131413"/>
                <w:sz w:val="24"/>
                <w:szCs w:val="24"/>
              </w:rPr>
            </w:pPr>
            <w:r w:rsidRPr="00FF4662">
              <w:rPr>
                <w:rFonts w:ascii="Times New Roman" w:hAnsi="Times New Roman" w:cs="Times New Roman"/>
                <w:color w:val="131413"/>
                <w:sz w:val="24"/>
                <w:szCs w:val="24"/>
              </w:rPr>
              <w:t>The models developed are found to be reliable representatives of the experimental results with prediction errors less than ±5 %.</w:t>
            </w:r>
          </w:p>
          <w:p w:rsidR="00625790" w:rsidRPr="00FF4662" w:rsidRDefault="00625790" w:rsidP="00FB213A">
            <w:pPr>
              <w:pStyle w:val="ListParagraph"/>
              <w:numPr>
                <w:ilvl w:val="0"/>
                <w:numId w:val="16"/>
              </w:numPr>
              <w:autoSpaceDE w:val="0"/>
              <w:autoSpaceDN w:val="0"/>
              <w:adjustRightInd w:val="0"/>
              <w:ind w:left="342"/>
              <w:rPr>
                <w:rFonts w:ascii="Times New Roman" w:hAnsi="Times New Roman" w:cs="Times New Roman"/>
                <w:color w:val="131413"/>
                <w:sz w:val="24"/>
                <w:szCs w:val="24"/>
              </w:rPr>
            </w:pPr>
            <w:r w:rsidRPr="00FF4662">
              <w:rPr>
                <w:rFonts w:ascii="Times New Roman" w:hAnsi="Times New Roman" w:cs="Times New Roman"/>
                <w:color w:val="131413"/>
                <w:sz w:val="24"/>
                <w:szCs w:val="24"/>
              </w:rPr>
              <w:t>The optimized values of cutting rate and surface roughness achieved through multi-response optimization are 2.55 mm/min and 2.54 μm, respectively.</w:t>
            </w:r>
          </w:p>
          <w:p w:rsidR="003D0506" w:rsidRPr="00FF4662" w:rsidRDefault="003D0506" w:rsidP="00EF158B">
            <w:pPr>
              <w:rPr>
                <w:rFonts w:ascii="Times New Roman" w:hAnsi="Times New Roman" w:cs="Times New Roman"/>
                <w:sz w:val="24"/>
                <w:szCs w:val="24"/>
              </w:rPr>
            </w:pPr>
          </w:p>
        </w:tc>
        <w:tc>
          <w:tcPr>
            <w:tcW w:w="1620" w:type="dxa"/>
          </w:tcPr>
          <w:p w:rsidR="00E67313" w:rsidRPr="00FF4662" w:rsidRDefault="00E67313" w:rsidP="00E67313">
            <w:pPr>
              <w:pStyle w:val="ListParagraph"/>
              <w:numPr>
                <w:ilvl w:val="0"/>
                <w:numId w:val="18"/>
              </w:numPr>
              <w:autoSpaceDE w:val="0"/>
              <w:autoSpaceDN w:val="0"/>
              <w:adjustRightInd w:val="0"/>
              <w:ind w:left="252"/>
              <w:rPr>
                <w:rFonts w:ascii="Times New Roman" w:hAnsi="Times New Roman" w:cs="Times New Roman"/>
                <w:color w:val="131413"/>
                <w:sz w:val="24"/>
                <w:szCs w:val="24"/>
              </w:rPr>
            </w:pPr>
            <w:r w:rsidRPr="00FF4662">
              <w:rPr>
                <w:rFonts w:ascii="Times New Roman" w:hAnsi="Times New Roman" w:cs="Times New Roman"/>
                <w:color w:val="131413"/>
                <w:sz w:val="24"/>
                <w:szCs w:val="24"/>
              </w:rPr>
              <w:t>Wire electrical dischargema hining</w:t>
            </w:r>
          </w:p>
          <w:p w:rsidR="00E67313" w:rsidRPr="00FF4662" w:rsidRDefault="00E67313" w:rsidP="00E67313">
            <w:pPr>
              <w:pStyle w:val="ListParagraph"/>
              <w:numPr>
                <w:ilvl w:val="0"/>
                <w:numId w:val="18"/>
              </w:numPr>
              <w:autoSpaceDE w:val="0"/>
              <w:autoSpaceDN w:val="0"/>
              <w:adjustRightInd w:val="0"/>
              <w:ind w:left="252"/>
              <w:rPr>
                <w:rFonts w:ascii="Times New Roman" w:hAnsi="Times New Roman" w:cs="Times New Roman"/>
                <w:color w:val="131413"/>
                <w:sz w:val="24"/>
                <w:szCs w:val="24"/>
              </w:rPr>
            </w:pPr>
            <w:r w:rsidRPr="00FF4662">
              <w:rPr>
                <w:rFonts w:ascii="Times New Roman" w:hAnsi="Times New Roman" w:cs="Times New Roman"/>
                <w:color w:val="131413"/>
                <w:sz w:val="24"/>
                <w:szCs w:val="24"/>
              </w:rPr>
              <w:t>Inconel 718</w:t>
            </w:r>
          </w:p>
          <w:p w:rsidR="00E67313" w:rsidRPr="00FF4662" w:rsidRDefault="00E67313" w:rsidP="00E67313">
            <w:pPr>
              <w:pStyle w:val="ListParagraph"/>
              <w:numPr>
                <w:ilvl w:val="0"/>
                <w:numId w:val="18"/>
              </w:numPr>
              <w:autoSpaceDE w:val="0"/>
              <w:autoSpaceDN w:val="0"/>
              <w:adjustRightInd w:val="0"/>
              <w:ind w:left="252"/>
              <w:rPr>
                <w:rFonts w:ascii="Times New Roman" w:hAnsi="Times New Roman" w:cs="Times New Roman"/>
                <w:color w:val="131413"/>
                <w:sz w:val="24"/>
                <w:szCs w:val="24"/>
              </w:rPr>
            </w:pPr>
            <w:r w:rsidRPr="00FF4662">
              <w:rPr>
                <w:rFonts w:ascii="Times New Roman" w:hAnsi="Times New Roman" w:cs="Times New Roman"/>
                <w:color w:val="131413"/>
                <w:sz w:val="24"/>
                <w:szCs w:val="24"/>
              </w:rPr>
              <w:t>Response surface methodolog</w:t>
            </w:r>
          </w:p>
          <w:p w:rsidR="00E67313" w:rsidRPr="00FF4662" w:rsidRDefault="00E67313" w:rsidP="00E67313">
            <w:pPr>
              <w:pStyle w:val="ListParagraph"/>
              <w:numPr>
                <w:ilvl w:val="0"/>
                <w:numId w:val="18"/>
              </w:numPr>
              <w:autoSpaceDE w:val="0"/>
              <w:autoSpaceDN w:val="0"/>
              <w:adjustRightInd w:val="0"/>
              <w:ind w:left="252"/>
              <w:rPr>
                <w:rFonts w:ascii="Times New Roman" w:hAnsi="Times New Roman" w:cs="Times New Roman"/>
                <w:color w:val="131413"/>
                <w:sz w:val="24"/>
                <w:szCs w:val="24"/>
              </w:rPr>
            </w:pPr>
            <w:r w:rsidRPr="00FF4662">
              <w:rPr>
                <w:rFonts w:ascii="Times New Roman" w:hAnsi="Times New Roman" w:cs="Times New Roman"/>
                <w:color w:val="131413"/>
                <w:sz w:val="24"/>
                <w:szCs w:val="24"/>
              </w:rPr>
              <w:t>Cutting rate</w:t>
            </w:r>
          </w:p>
          <w:p w:rsidR="003D0506" w:rsidRPr="00FF4662" w:rsidRDefault="00E67313" w:rsidP="00E67313">
            <w:pPr>
              <w:pStyle w:val="ListParagraph"/>
              <w:numPr>
                <w:ilvl w:val="0"/>
                <w:numId w:val="18"/>
              </w:numPr>
              <w:autoSpaceDE w:val="0"/>
              <w:autoSpaceDN w:val="0"/>
              <w:adjustRightInd w:val="0"/>
              <w:ind w:left="252"/>
              <w:rPr>
                <w:rFonts w:ascii="Times New Roman" w:hAnsi="Times New Roman" w:cs="Times New Roman"/>
                <w:color w:val="131413"/>
                <w:sz w:val="24"/>
                <w:szCs w:val="24"/>
              </w:rPr>
            </w:pPr>
            <w:r w:rsidRPr="00FF4662">
              <w:rPr>
                <w:rFonts w:ascii="Times New Roman" w:hAnsi="Times New Roman" w:cs="Times New Roman"/>
                <w:color w:val="131413"/>
                <w:sz w:val="24"/>
                <w:szCs w:val="24"/>
              </w:rPr>
              <w:t>Surface roughness</w:t>
            </w:r>
          </w:p>
        </w:tc>
      </w:tr>
    </w:tbl>
    <w:p w:rsidR="006D1929" w:rsidRDefault="006D1929"/>
    <w:p w:rsidR="00D20855" w:rsidRDefault="00D20855"/>
    <w:sectPr w:rsidR="00D20855" w:rsidSect="00054AA9">
      <w:pgSz w:w="16838" w:h="11906" w:orient="landscape"/>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C1D"/>
    <w:multiLevelType w:val="hybridMultilevel"/>
    <w:tmpl w:val="2D9E4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DA12E9"/>
    <w:multiLevelType w:val="hybridMultilevel"/>
    <w:tmpl w:val="F4340C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0C7299"/>
    <w:multiLevelType w:val="hybridMultilevel"/>
    <w:tmpl w:val="E67840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1630D2"/>
    <w:multiLevelType w:val="hybridMultilevel"/>
    <w:tmpl w:val="E67840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0B55EF"/>
    <w:multiLevelType w:val="hybridMultilevel"/>
    <w:tmpl w:val="E076A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FF5AFA"/>
    <w:multiLevelType w:val="hybridMultilevel"/>
    <w:tmpl w:val="E67840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C8B5B51"/>
    <w:multiLevelType w:val="hybridMultilevel"/>
    <w:tmpl w:val="5F943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6712409"/>
    <w:multiLevelType w:val="hybridMultilevel"/>
    <w:tmpl w:val="D71AC0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9016C5C"/>
    <w:multiLevelType w:val="hybridMultilevel"/>
    <w:tmpl w:val="5322CE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221068D"/>
    <w:multiLevelType w:val="hybridMultilevel"/>
    <w:tmpl w:val="E67840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66C37F4"/>
    <w:multiLevelType w:val="hybridMultilevel"/>
    <w:tmpl w:val="B8DA1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E5D6F73"/>
    <w:multiLevelType w:val="hybridMultilevel"/>
    <w:tmpl w:val="02C6A4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27B443A"/>
    <w:multiLevelType w:val="hybridMultilevel"/>
    <w:tmpl w:val="BEE021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99E2042"/>
    <w:multiLevelType w:val="hybridMultilevel"/>
    <w:tmpl w:val="C30E72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C427791"/>
    <w:multiLevelType w:val="hybridMultilevel"/>
    <w:tmpl w:val="E6E680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E533B04"/>
    <w:multiLevelType w:val="hybridMultilevel"/>
    <w:tmpl w:val="69E04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3AF4CD8"/>
    <w:multiLevelType w:val="hybridMultilevel"/>
    <w:tmpl w:val="492452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D323D6D"/>
    <w:multiLevelType w:val="hybridMultilevel"/>
    <w:tmpl w:val="E67840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5"/>
  </w:num>
  <w:num w:numId="5">
    <w:abstractNumId w:val="3"/>
  </w:num>
  <w:num w:numId="6">
    <w:abstractNumId w:val="2"/>
  </w:num>
  <w:num w:numId="7">
    <w:abstractNumId w:val="17"/>
  </w:num>
  <w:num w:numId="8">
    <w:abstractNumId w:val="10"/>
  </w:num>
  <w:num w:numId="9">
    <w:abstractNumId w:val="7"/>
  </w:num>
  <w:num w:numId="10">
    <w:abstractNumId w:val="11"/>
  </w:num>
  <w:num w:numId="11">
    <w:abstractNumId w:val="16"/>
  </w:num>
  <w:num w:numId="12">
    <w:abstractNumId w:val="4"/>
  </w:num>
  <w:num w:numId="13">
    <w:abstractNumId w:val="8"/>
  </w:num>
  <w:num w:numId="14">
    <w:abstractNumId w:val="1"/>
  </w:num>
  <w:num w:numId="15">
    <w:abstractNumId w:val="13"/>
  </w:num>
  <w:num w:numId="16">
    <w:abstractNumId w:val="1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81"/>
    <w:rsid w:val="00003DAB"/>
    <w:rsid w:val="00054AA9"/>
    <w:rsid w:val="0009387B"/>
    <w:rsid w:val="000B3815"/>
    <w:rsid w:val="001E748B"/>
    <w:rsid w:val="00203A31"/>
    <w:rsid w:val="002338DD"/>
    <w:rsid w:val="00234098"/>
    <w:rsid w:val="00234BFD"/>
    <w:rsid w:val="002426A3"/>
    <w:rsid w:val="002530C4"/>
    <w:rsid w:val="00262AA4"/>
    <w:rsid w:val="0028524E"/>
    <w:rsid w:val="002871FF"/>
    <w:rsid w:val="002C45C9"/>
    <w:rsid w:val="002C57AA"/>
    <w:rsid w:val="002F2FC9"/>
    <w:rsid w:val="003242D2"/>
    <w:rsid w:val="00335987"/>
    <w:rsid w:val="003D0506"/>
    <w:rsid w:val="003D1BB5"/>
    <w:rsid w:val="003E6F74"/>
    <w:rsid w:val="004530D4"/>
    <w:rsid w:val="00482CDE"/>
    <w:rsid w:val="00510424"/>
    <w:rsid w:val="0054339C"/>
    <w:rsid w:val="005621EB"/>
    <w:rsid w:val="005904C2"/>
    <w:rsid w:val="005B3F81"/>
    <w:rsid w:val="005D2030"/>
    <w:rsid w:val="00625790"/>
    <w:rsid w:val="00635036"/>
    <w:rsid w:val="00653166"/>
    <w:rsid w:val="00653936"/>
    <w:rsid w:val="0067361A"/>
    <w:rsid w:val="00680A26"/>
    <w:rsid w:val="006827CD"/>
    <w:rsid w:val="006B1DDA"/>
    <w:rsid w:val="006D1929"/>
    <w:rsid w:val="00702F4D"/>
    <w:rsid w:val="007063BE"/>
    <w:rsid w:val="0072117C"/>
    <w:rsid w:val="00730925"/>
    <w:rsid w:val="00735909"/>
    <w:rsid w:val="007918D2"/>
    <w:rsid w:val="007D0BDF"/>
    <w:rsid w:val="008361B7"/>
    <w:rsid w:val="00837AAA"/>
    <w:rsid w:val="0087673D"/>
    <w:rsid w:val="008767D8"/>
    <w:rsid w:val="0088587A"/>
    <w:rsid w:val="008F0E2B"/>
    <w:rsid w:val="008F2990"/>
    <w:rsid w:val="008F5354"/>
    <w:rsid w:val="00907A07"/>
    <w:rsid w:val="00917305"/>
    <w:rsid w:val="00934086"/>
    <w:rsid w:val="00934732"/>
    <w:rsid w:val="0095642E"/>
    <w:rsid w:val="00A23315"/>
    <w:rsid w:val="00A24E6E"/>
    <w:rsid w:val="00A9524C"/>
    <w:rsid w:val="00AB4271"/>
    <w:rsid w:val="00AF70E4"/>
    <w:rsid w:val="00B37F80"/>
    <w:rsid w:val="00B80869"/>
    <w:rsid w:val="00B959EB"/>
    <w:rsid w:val="00BB194F"/>
    <w:rsid w:val="00BB2113"/>
    <w:rsid w:val="00BB47E3"/>
    <w:rsid w:val="00BC2F85"/>
    <w:rsid w:val="00C234D3"/>
    <w:rsid w:val="00C3078C"/>
    <w:rsid w:val="00C31C6C"/>
    <w:rsid w:val="00C90D25"/>
    <w:rsid w:val="00C92DDD"/>
    <w:rsid w:val="00CD1C23"/>
    <w:rsid w:val="00CF5064"/>
    <w:rsid w:val="00D20855"/>
    <w:rsid w:val="00D5581E"/>
    <w:rsid w:val="00DA2D35"/>
    <w:rsid w:val="00DB5B0E"/>
    <w:rsid w:val="00DE7417"/>
    <w:rsid w:val="00E05B73"/>
    <w:rsid w:val="00E1541F"/>
    <w:rsid w:val="00E57281"/>
    <w:rsid w:val="00E67313"/>
    <w:rsid w:val="00E77631"/>
    <w:rsid w:val="00E9230D"/>
    <w:rsid w:val="00EC42E6"/>
    <w:rsid w:val="00EF158B"/>
    <w:rsid w:val="00F709E5"/>
    <w:rsid w:val="00F7523F"/>
    <w:rsid w:val="00FA2F83"/>
    <w:rsid w:val="00FA7B7C"/>
    <w:rsid w:val="00FB213A"/>
    <w:rsid w:val="00FB5EE5"/>
    <w:rsid w:val="00FB6DBB"/>
    <w:rsid w:val="00FC5F18"/>
    <w:rsid w:val="00FD7DCE"/>
    <w:rsid w:val="00FF25BF"/>
    <w:rsid w:val="00FF4662"/>
    <w:rsid w:val="00FF50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3ACC5-FBA1-49A8-AD6B-62469465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09387B"/>
  </w:style>
  <w:style w:type="paragraph" w:styleId="ListParagraph">
    <w:name w:val="List Paragraph"/>
    <w:basedOn w:val="Normal"/>
    <w:uiPriority w:val="34"/>
    <w:qFormat/>
    <w:rsid w:val="00FA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A06B49-5903-4DC7-861E-5A158604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108</cp:revision>
  <dcterms:created xsi:type="dcterms:W3CDTF">2019-09-09T03:07:00Z</dcterms:created>
  <dcterms:modified xsi:type="dcterms:W3CDTF">2019-09-30T09:16:00Z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https://csl.mendeley.com/styles/470971101/harvard-cite-them-right</vt:lpwstr>
  </property>
  <property fmtid="{D5CDD505-2E9C-101B-9397-08002B2CF9AE}" pid="13" name="Mendeley Recent Style Name 5_1">
    <vt:lpwstr>Cite Them Right 10th edition - Harvard - Amrifan Mohruni - Dipl.-Ing. Ir. Ph.D Amrifan Saladin Mohruni</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a8605ece-95b8-3815-998a-a177348f6313</vt:lpwstr>
  </property>
  <property fmtid="{D5CDD505-2E9C-101B-9397-08002B2CF9AE}" pid="24" name="Mendeley Citation Style_1">
    <vt:lpwstr>https://csl.mendeley.com/styles/470971101/harvard-cite-them-right</vt:lpwstr>
  </property>
</Properties>
</file>